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ED" w:rsidRPr="009362ED" w:rsidRDefault="009362ED" w:rsidP="009362ED">
      <w:pPr>
        <w:widowControl/>
        <w:shd w:val="clear" w:color="auto" w:fill="F1F1F1"/>
        <w:jc w:val="center"/>
        <w:rPr>
          <w:rFonts w:ascii="Verdana" w:eastAsia="宋体" w:hAnsi="Verdana" w:cs="宋体" w:hint="eastAsia"/>
          <w:b/>
          <w:color w:val="000000"/>
          <w:kern w:val="0"/>
          <w:sz w:val="24"/>
          <w:szCs w:val="21"/>
        </w:rPr>
      </w:pPr>
      <w:r w:rsidRPr="009362ED">
        <w:rPr>
          <w:rFonts w:ascii="Verdana" w:eastAsia="宋体" w:hAnsi="Verdana" w:cs="宋体" w:hint="eastAsia"/>
          <w:b/>
          <w:color w:val="000000"/>
          <w:kern w:val="0"/>
          <w:sz w:val="24"/>
          <w:szCs w:val="21"/>
        </w:rPr>
        <w:t>《绿色建筑评价标准》</w:t>
      </w:r>
      <w:r w:rsidRPr="009362ED">
        <w:rPr>
          <w:rFonts w:ascii="Verdana" w:eastAsia="宋体" w:hAnsi="Verdana" w:cs="宋体" w:hint="eastAsia"/>
          <w:b/>
          <w:color w:val="000000"/>
          <w:kern w:val="0"/>
          <w:sz w:val="24"/>
          <w:szCs w:val="21"/>
        </w:rPr>
        <w:t xml:space="preserve"> GB/T50378-2014</w:t>
      </w:r>
    </w:p>
    <w:p w:rsidR="009362ED" w:rsidRPr="009362ED" w:rsidRDefault="009362ED" w:rsidP="009362ED">
      <w:pPr>
        <w:widowControl/>
        <w:shd w:val="clear" w:color="auto" w:fill="F1F1F1"/>
        <w:jc w:val="left"/>
        <w:rPr>
          <w:rFonts w:ascii="Verdana" w:eastAsia="宋体" w:hAnsi="Verdana" w:cs="宋体"/>
          <w:color w:val="1D1D1B"/>
          <w:kern w:val="0"/>
          <w:szCs w:val="21"/>
        </w:rPr>
      </w:pPr>
      <w:r w:rsidRPr="009362ED">
        <w:rPr>
          <w:rFonts w:ascii="Verdana" w:eastAsia="宋体" w:hAnsi="Verdana" w:cs="宋体"/>
          <w:color w:val="000000"/>
          <w:kern w:val="0"/>
          <w:szCs w:val="21"/>
        </w:rPr>
        <w:t>核心提示：</w:t>
      </w:r>
      <w:r w:rsidRPr="009362ED">
        <w:rPr>
          <w:rFonts w:ascii="Verdana" w:eastAsia="宋体" w:hAnsi="Verdana" w:cs="宋体"/>
          <w:color w:val="000000"/>
          <w:kern w:val="0"/>
          <w:szCs w:val="21"/>
        </w:rPr>
        <w:t xml:space="preserve">1 </w:t>
      </w:r>
      <w:r w:rsidRPr="009362ED">
        <w:rPr>
          <w:rFonts w:ascii="Verdana" w:eastAsia="宋体" w:hAnsi="Verdana" w:cs="宋体"/>
          <w:color w:val="000000"/>
          <w:kern w:val="0"/>
          <w:szCs w:val="21"/>
        </w:rPr>
        <w:t>总则</w:t>
      </w:r>
      <w:r w:rsidRPr="009362ED">
        <w:rPr>
          <w:rFonts w:ascii="Verdana" w:eastAsia="宋体" w:hAnsi="Verdana" w:cs="宋体"/>
          <w:color w:val="000000"/>
          <w:kern w:val="0"/>
          <w:szCs w:val="21"/>
        </w:rPr>
        <w:t xml:space="preserve"> 1.0.1 </w:t>
      </w:r>
      <w:r w:rsidRPr="009362ED">
        <w:rPr>
          <w:rFonts w:ascii="Verdana" w:eastAsia="宋体" w:hAnsi="Verdana" w:cs="宋体"/>
          <w:color w:val="000000"/>
          <w:kern w:val="0"/>
          <w:szCs w:val="21"/>
        </w:rPr>
        <w:t>为贯彻国家技术经济政策，节约资源，保护环境，规范绿色建筑的评价，推进可持续发展，制定本标准。</w:t>
      </w:r>
      <w:r w:rsidRPr="009362ED">
        <w:rPr>
          <w:rFonts w:ascii="Verdana" w:eastAsia="宋体" w:hAnsi="Verdana" w:cs="宋体"/>
          <w:color w:val="000000"/>
          <w:kern w:val="0"/>
          <w:szCs w:val="21"/>
        </w:rPr>
        <w:t xml:space="preserve"> 1.0.2 </w:t>
      </w:r>
      <w:r w:rsidRPr="009362ED">
        <w:rPr>
          <w:rFonts w:ascii="Verdana" w:eastAsia="宋体" w:hAnsi="Verdana" w:cs="宋体"/>
          <w:color w:val="000000"/>
          <w:kern w:val="0"/>
          <w:szCs w:val="21"/>
        </w:rPr>
        <w:t>本标准适用于绿色民用建筑的评价。</w:t>
      </w:r>
      <w:r w:rsidRPr="009362ED">
        <w:rPr>
          <w:rFonts w:ascii="Verdana" w:eastAsia="宋体" w:hAnsi="Verdana" w:cs="宋体"/>
          <w:color w:val="000000"/>
          <w:kern w:val="0"/>
          <w:szCs w:val="21"/>
        </w:rPr>
        <w:t xml:space="preserve"> 1.0.3 </w:t>
      </w:r>
      <w:r w:rsidRPr="009362ED">
        <w:rPr>
          <w:rFonts w:ascii="Verdana" w:eastAsia="宋体" w:hAnsi="Verdana" w:cs="宋体"/>
          <w:color w:val="000000"/>
          <w:kern w:val="0"/>
          <w:szCs w:val="21"/>
        </w:rPr>
        <w:t>绿色建筑评价应遵循因地制宜的原则，结合建筑所在地</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000000"/>
          <w:kern w:val="0"/>
          <w:szCs w:val="21"/>
        </w:rPr>
        <w:t xml:space="preserve">1 </w:t>
      </w:r>
      <w:r w:rsidRPr="009362ED">
        <w:rPr>
          <w:rFonts w:ascii="Verdana" w:eastAsia="宋体" w:hAnsi="Verdana" w:cs="宋体"/>
          <w:color w:val="000000"/>
          <w:kern w:val="0"/>
          <w:szCs w:val="21"/>
        </w:rPr>
        <w:t>总则</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1.0.1 </w:t>
      </w:r>
      <w:r w:rsidRPr="009362ED">
        <w:rPr>
          <w:rFonts w:ascii="Verdana" w:eastAsia="宋体" w:hAnsi="Verdana" w:cs="宋体"/>
          <w:color w:val="000000"/>
          <w:kern w:val="0"/>
          <w:szCs w:val="21"/>
        </w:rPr>
        <w:t>为贯彻国家技术经济政策，节约资源，保护环境，规范绿色建筑的评价，推进可持续发展，制定本标准。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 </w:t>
      </w:r>
      <w:r w:rsidRPr="009362ED">
        <w:rPr>
          <w:rFonts w:ascii="Verdana" w:eastAsia="宋体" w:hAnsi="Verdana" w:cs="宋体"/>
          <w:color w:val="000000"/>
          <w:kern w:val="0"/>
          <w:szCs w:val="21"/>
        </w:rPr>
        <w:t>本标准适用于绿色民用建筑的评价。</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1.0.3 </w:t>
      </w:r>
      <w:r w:rsidRPr="009362ED">
        <w:rPr>
          <w:rFonts w:ascii="Verdana" w:eastAsia="宋体" w:hAnsi="Verdana" w:cs="宋体"/>
          <w:color w:val="000000"/>
          <w:kern w:val="0"/>
          <w:szCs w:val="21"/>
        </w:rPr>
        <w:t>绿色建筑评价应遵循因地制宜的原则，结合建筑所在地域的气候、环境、资源、经济及文化等特点，对建筑全寿命期内节能、节地、节水、节材、保护环境等性能进行综合评价。</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1.0.4 </w:t>
      </w:r>
      <w:r w:rsidRPr="009362ED">
        <w:rPr>
          <w:rFonts w:ascii="Verdana" w:eastAsia="宋体" w:hAnsi="Verdana" w:cs="宋体"/>
          <w:color w:val="000000"/>
          <w:kern w:val="0"/>
          <w:szCs w:val="21"/>
        </w:rPr>
        <w:t>绿色建筑的评价除应符合本标准的规定外，尚应符合国家现行有关标准的规定。</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2 </w:t>
      </w:r>
      <w:r w:rsidRPr="009362ED">
        <w:rPr>
          <w:rFonts w:ascii="Verdana" w:eastAsia="宋体" w:hAnsi="Verdana" w:cs="宋体"/>
          <w:color w:val="000000"/>
          <w:kern w:val="0"/>
          <w:szCs w:val="21"/>
        </w:rPr>
        <w:t>术语</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2.0.1 </w:t>
      </w:r>
      <w:r w:rsidRPr="009362ED">
        <w:rPr>
          <w:rFonts w:ascii="Verdana" w:eastAsia="宋体" w:hAnsi="Verdana" w:cs="宋体"/>
          <w:color w:val="000000"/>
          <w:kern w:val="0"/>
          <w:szCs w:val="21"/>
        </w:rPr>
        <w:t>绿色建筑</w:t>
      </w:r>
      <w:r w:rsidRPr="009362ED">
        <w:rPr>
          <w:rFonts w:ascii="Verdana" w:eastAsia="宋体" w:hAnsi="Verdana" w:cs="宋体"/>
          <w:color w:val="000000"/>
          <w:kern w:val="0"/>
          <w:szCs w:val="21"/>
        </w:rPr>
        <w:t xml:space="preserve"> green building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在全寿命期内，最大限度地节约资源（节能、节地、节水、节材）、保护环境、减少污染，为人们提供健康、适用和高效的使用空间，与自然和谐共生的建筑。</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2.0.2 </w:t>
      </w:r>
      <w:r w:rsidRPr="009362ED">
        <w:rPr>
          <w:rFonts w:ascii="Verdana" w:eastAsia="宋体" w:hAnsi="Verdana" w:cs="宋体"/>
          <w:color w:val="000000"/>
          <w:kern w:val="0"/>
          <w:szCs w:val="21"/>
        </w:rPr>
        <w:t>热岛强度</w:t>
      </w:r>
      <w:r w:rsidRPr="009362ED">
        <w:rPr>
          <w:rFonts w:ascii="Verdana" w:eastAsia="宋体" w:hAnsi="Verdana" w:cs="宋体"/>
          <w:color w:val="000000"/>
          <w:kern w:val="0"/>
          <w:szCs w:val="21"/>
        </w:rPr>
        <w:t xml:space="preserve"> heat island intensity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城市内一个区域的气温与郊区气温的差别，用二者代表性测点气温的差值表示，是城市热岛效应的表征参数。</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2.0.3 </w:t>
      </w:r>
      <w:r w:rsidRPr="009362ED">
        <w:rPr>
          <w:rFonts w:ascii="Verdana" w:eastAsia="宋体" w:hAnsi="Verdana" w:cs="宋体"/>
          <w:color w:val="000000"/>
          <w:kern w:val="0"/>
          <w:szCs w:val="21"/>
        </w:rPr>
        <w:t>年径流总量控制率</w:t>
      </w:r>
      <w:r w:rsidRPr="009362ED">
        <w:rPr>
          <w:rFonts w:ascii="Verdana" w:eastAsia="宋体" w:hAnsi="Verdana" w:cs="宋体"/>
          <w:color w:val="000000"/>
          <w:kern w:val="0"/>
          <w:szCs w:val="21"/>
        </w:rPr>
        <w:t xml:space="preserve"> volume capture ratio of annual rainfall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通过自然和人工强化的入渗、滞蓄、调蓄和收集回用，场地内累计一年得到控制的雨水量占全年总降雨量的比例。</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2.0.4 </w:t>
      </w:r>
      <w:r w:rsidRPr="009362ED">
        <w:rPr>
          <w:rFonts w:ascii="Verdana" w:eastAsia="宋体" w:hAnsi="Verdana" w:cs="宋体"/>
          <w:color w:val="000000"/>
          <w:kern w:val="0"/>
          <w:szCs w:val="21"/>
        </w:rPr>
        <w:t>可再生能源</w:t>
      </w:r>
      <w:r w:rsidRPr="009362ED">
        <w:rPr>
          <w:rFonts w:ascii="Verdana" w:eastAsia="宋体" w:hAnsi="Verdana" w:cs="宋体"/>
          <w:color w:val="000000"/>
          <w:kern w:val="0"/>
          <w:szCs w:val="21"/>
        </w:rPr>
        <w:t xml:space="preserve"> renewable energy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风能、太阳能、水能、生物质能、地热能和海洋能等非化石能源的统称。</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2.0.5 </w:t>
      </w:r>
      <w:r w:rsidRPr="009362ED">
        <w:rPr>
          <w:rFonts w:ascii="Verdana" w:eastAsia="宋体" w:hAnsi="Verdana" w:cs="宋体"/>
          <w:color w:val="000000"/>
          <w:kern w:val="0"/>
          <w:szCs w:val="21"/>
        </w:rPr>
        <w:t>再生水</w:t>
      </w:r>
      <w:r w:rsidRPr="009362ED">
        <w:rPr>
          <w:rFonts w:ascii="Verdana" w:eastAsia="宋体" w:hAnsi="Verdana" w:cs="宋体"/>
          <w:color w:val="000000"/>
          <w:kern w:val="0"/>
          <w:szCs w:val="21"/>
        </w:rPr>
        <w:t xml:space="preserve"> reclaimed water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污水经处理后，达到规定水质标准、满足一定使用要求的非饮用水。</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2.0.6 </w:t>
      </w:r>
      <w:r w:rsidRPr="009362ED">
        <w:rPr>
          <w:rFonts w:ascii="Verdana" w:eastAsia="宋体" w:hAnsi="Verdana" w:cs="宋体"/>
          <w:color w:val="000000"/>
          <w:kern w:val="0"/>
          <w:szCs w:val="21"/>
        </w:rPr>
        <w:t>非传统水源</w:t>
      </w:r>
      <w:r w:rsidRPr="009362ED">
        <w:rPr>
          <w:rFonts w:ascii="Verdana" w:eastAsia="宋体" w:hAnsi="Verdana" w:cs="宋体"/>
          <w:color w:val="000000"/>
          <w:kern w:val="0"/>
          <w:szCs w:val="21"/>
        </w:rPr>
        <w:t xml:space="preserve"> nontraditional water source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不同于传统地表水供水和地下水供水的水源，包括再生水、雨水、海水等。</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2.0.7 </w:t>
      </w:r>
      <w:r w:rsidRPr="009362ED">
        <w:rPr>
          <w:rFonts w:ascii="Verdana" w:eastAsia="宋体" w:hAnsi="Verdana" w:cs="宋体"/>
          <w:color w:val="000000"/>
          <w:kern w:val="0"/>
          <w:szCs w:val="21"/>
        </w:rPr>
        <w:t>可再利用材料</w:t>
      </w:r>
      <w:r w:rsidRPr="009362ED">
        <w:rPr>
          <w:rFonts w:ascii="Verdana" w:eastAsia="宋体" w:hAnsi="Verdana" w:cs="宋体"/>
          <w:color w:val="000000"/>
          <w:kern w:val="0"/>
          <w:szCs w:val="21"/>
        </w:rPr>
        <w:t xml:space="preserve"> reusable material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不改变物质形态可直接再利用的，或经过组合、修复后可直接再利用的回收</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材料。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2.0.8 </w:t>
      </w:r>
      <w:r w:rsidRPr="009362ED">
        <w:rPr>
          <w:rFonts w:ascii="Verdana" w:eastAsia="宋体" w:hAnsi="Verdana" w:cs="宋体"/>
          <w:color w:val="000000"/>
          <w:kern w:val="0"/>
          <w:szCs w:val="21"/>
        </w:rPr>
        <w:t>可再循环材料</w:t>
      </w:r>
      <w:r w:rsidRPr="009362ED">
        <w:rPr>
          <w:rFonts w:ascii="Verdana" w:eastAsia="宋体" w:hAnsi="Verdana" w:cs="宋体"/>
          <w:color w:val="000000"/>
          <w:kern w:val="0"/>
          <w:szCs w:val="21"/>
        </w:rPr>
        <w:t xml:space="preserve"> recyclable material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通过改变物质形态可实现循环利用的回收材料。</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 </w:t>
      </w:r>
      <w:r w:rsidRPr="009362ED">
        <w:rPr>
          <w:rFonts w:ascii="Verdana" w:eastAsia="宋体" w:hAnsi="Verdana" w:cs="宋体"/>
          <w:color w:val="000000"/>
          <w:kern w:val="0"/>
          <w:szCs w:val="21"/>
        </w:rPr>
        <w:t>基本规定</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3.1 </w:t>
      </w:r>
      <w:r w:rsidRPr="009362ED">
        <w:rPr>
          <w:rFonts w:ascii="Verdana" w:eastAsia="宋体" w:hAnsi="Verdana" w:cs="宋体"/>
          <w:color w:val="000000"/>
          <w:kern w:val="0"/>
          <w:szCs w:val="21"/>
        </w:rPr>
        <w:t>一般规定</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xml:space="preserve">3.1.1 </w:t>
      </w:r>
      <w:r w:rsidRPr="009362ED">
        <w:rPr>
          <w:rFonts w:ascii="Verdana" w:eastAsia="宋体" w:hAnsi="Verdana" w:cs="宋体"/>
          <w:color w:val="000000"/>
          <w:kern w:val="0"/>
          <w:szCs w:val="21"/>
        </w:rPr>
        <w:t>绿色建筑的评价应以单栋建筑或建筑群为评价对象。评价单栋建筑时，凡涉及系统性、整体性的指标，应基于该栋建筑所属工程项目的总体进行评价。</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3.1.2 </w:t>
      </w:r>
      <w:r w:rsidRPr="009362ED">
        <w:rPr>
          <w:rFonts w:ascii="Verdana" w:eastAsia="宋体" w:hAnsi="Verdana" w:cs="宋体"/>
          <w:color w:val="000000"/>
          <w:kern w:val="0"/>
          <w:szCs w:val="21"/>
        </w:rPr>
        <w:t>绿色建筑的评价分为设计评价和运行评价。设计评价应在建筑工程施工图设计文件审查通过后进行，运行评价应在建筑通过竣工验收并投入使用一年后进行。</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3.1.3 </w:t>
      </w:r>
      <w:r w:rsidRPr="009362ED">
        <w:rPr>
          <w:rFonts w:ascii="Verdana" w:eastAsia="宋体" w:hAnsi="Verdana" w:cs="宋体"/>
          <w:color w:val="000000"/>
          <w:kern w:val="0"/>
          <w:szCs w:val="21"/>
        </w:rPr>
        <w:t>申请评价方应进行建筑全寿命</w:t>
      </w:r>
      <w:proofErr w:type="gramStart"/>
      <w:r w:rsidRPr="009362ED">
        <w:rPr>
          <w:rFonts w:ascii="Verdana" w:eastAsia="宋体" w:hAnsi="Verdana" w:cs="宋体"/>
          <w:color w:val="000000"/>
          <w:kern w:val="0"/>
          <w:szCs w:val="21"/>
        </w:rPr>
        <w:t>期技术</w:t>
      </w:r>
      <w:proofErr w:type="gramEnd"/>
      <w:r w:rsidRPr="009362ED">
        <w:rPr>
          <w:rFonts w:ascii="Verdana" w:eastAsia="宋体" w:hAnsi="Verdana" w:cs="宋体"/>
          <w:color w:val="000000"/>
          <w:kern w:val="0"/>
          <w:szCs w:val="21"/>
        </w:rPr>
        <w:t>和经济分析，合理确定建筑规模，选用适当的建筑技术、设备和材料，对规划、设计、施工、运行阶段进行全过程控制，并提交相应分析、测试报告和相关文件。</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3.1.4 </w:t>
      </w:r>
      <w:r w:rsidRPr="009362ED">
        <w:rPr>
          <w:rFonts w:ascii="Verdana" w:eastAsia="宋体" w:hAnsi="Verdana" w:cs="宋体"/>
          <w:color w:val="000000"/>
          <w:kern w:val="0"/>
          <w:szCs w:val="21"/>
        </w:rPr>
        <w:t>评价机构应按本标准的有关要求，对申请评价方提交的报告、文件进行审查，出具评价报告，确定等级。对申请运行评价的建筑，尚应进行现场考察。</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 </w:t>
      </w:r>
      <w:r w:rsidRPr="009362ED">
        <w:rPr>
          <w:rFonts w:ascii="Verdana" w:eastAsia="宋体" w:hAnsi="Verdana" w:cs="宋体"/>
          <w:color w:val="000000"/>
          <w:kern w:val="0"/>
          <w:szCs w:val="21"/>
        </w:rPr>
        <w:t>评价与等级划分</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w:t>
      </w:r>
    </w:p>
    <w:p w:rsidR="009362ED" w:rsidRDefault="009362ED" w:rsidP="009362ED">
      <w:pPr>
        <w:widowControl/>
        <w:shd w:val="clear" w:color="auto" w:fill="FFFFFF"/>
        <w:jc w:val="left"/>
        <w:rPr>
          <w:rFonts w:ascii="Verdana" w:eastAsia="宋体" w:hAnsi="Verdana" w:cs="宋体" w:hint="eastAsia"/>
          <w:color w:val="000000"/>
          <w:kern w:val="0"/>
          <w:szCs w:val="21"/>
        </w:rPr>
      </w:pPr>
      <w:r w:rsidRPr="009362ED">
        <w:rPr>
          <w:rFonts w:ascii="Verdana" w:eastAsia="宋体" w:hAnsi="Verdana" w:cs="宋体"/>
          <w:color w:val="000000"/>
          <w:kern w:val="0"/>
          <w:szCs w:val="21"/>
        </w:rPr>
        <w:t xml:space="preserve">3.2.1 </w:t>
      </w:r>
      <w:r w:rsidRPr="009362ED">
        <w:rPr>
          <w:rFonts w:ascii="Verdana" w:eastAsia="宋体" w:hAnsi="Verdana" w:cs="宋体"/>
          <w:color w:val="000000"/>
          <w:kern w:val="0"/>
          <w:szCs w:val="21"/>
        </w:rPr>
        <w:t>绿色建筑评价指标体系由节地与室外环境、节能与能源利用、节水与水资源利用、节材与材料资源利用、室内环境质量、施工管理、运营管理</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类指标组成。每类指标均包括控制项和评分项。评价指标体系还统一设置加分项。</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3.2.2 </w:t>
      </w:r>
      <w:r w:rsidRPr="009362ED">
        <w:rPr>
          <w:rFonts w:ascii="Verdana" w:eastAsia="宋体" w:hAnsi="Verdana" w:cs="宋体"/>
          <w:color w:val="000000"/>
          <w:kern w:val="0"/>
          <w:szCs w:val="21"/>
        </w:rPr>
        <w:t>设计评价时，不对施工管理和运营管理</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类指标进行评价，但可预评相关条文。运行评价应包括</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类指标。</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3.2.3 </w:t>
      </w:r>
      <w:r w:rsidRPr="009362ED">
        <w:rPr>
          <w:rFonts w:ascii="Verdana" w:eastAsia="宋体" w:hAnsi="Verdana" w:cs="宋体"/>
          <w:color w:val="000000"/>
          <w:kern w:val="0"/>
          <w:szCs w:val="21"/>
        </w:rPr>
        <w:t>控制项的评定结果为满足或不满足；评分项和加分项的评定结果为分值。</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3.2.4 </w:t>
      </w:r>
      <w:r w:rsidRPr="009362ED">
        <w:rPr>
          <w:rFonts w:ascii="Verdana" w:eastAsia="宋体" w:hAnsi="Verdana" w:cs="宋体"/>
          <w:color w:val="000000"/>
          <w:kern w:val="0"/>
          <w:szCs w:val="21"/>
        </w:rPr>
        <w:t>绿色建筑评价应按总得分确定等级。</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3.2.5 </w:t>
      </w:r>
      <w:r w:rsidRPr="009362ED">
        <w:rPr>
          <w:rFonts w:ascii="Verdana" w:eastAsia="宋体" w:hAnsi="Verdana" w:cs="宋体"/>
          <w:color w:val="000000"/>
          <w:kern w:val="0"/>
          <w:szCs w:val="21"/>
        </w:rPr>
        <w:t>评价指标体系</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类指标的总分均为</w:t>
      </w:r>
      <w:r w:rsidRPr="009362ED">
        <w:rPr>
          <w:rFonts w:ascii="Verdana" w:eastAsia="宋体" w:hAnsi="Verdana" w:cs="宋体"/>
          <w:color w:val="000000"/>
          <w:kern w:val="0"/>
          <w:szCs w:val="21"/>
        </w:rPr>
        <w:t xml:space="preserve"> 100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xml:space="preserve">7 </w:t>
      </w:r>
      <w:r w:rsidRPr="009362ED">
        <w:rPr>
          <w:rFonts w:ascii="Verdana" w:eastAsia="宋体" w:hAnsi="Verdana" w:cs="宋体"/>
          <w:color w:val="000000"/>
          <w:kern w:val="0"/>
          <w:szCs w:val="21"/>
        </w:rPr>
        <w:t>类指标各自的评分项得分</w:t>
      </w:r>
      <w:r w:rsidRPr="009362ED">
        <w:rPr>
          <w:rFonts w:ascii="Verdana" w:eastAsia="宋体" w:hAnsi="Verdana" w:cs="宋体"/>
          <w:color w:val="000000"/>
          <w:kern w:val="0"/>
          <w:szCs w:val="21"/>
        </w:rPr>
        <w:t>Q1</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Q2</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Q3</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Q4</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Q5</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Q6</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xml:space="preserve">Q7 </w:t>
      </w:r>
      <w:r w:rsidRPr="009362ED">
        <w:rPr>
          <w:rFonts w:ascii="Verdana" w:eastAsia="宋体" w:hAnsi="Verdana" w:cs="宋体"/>
          <w:color w:val="000000"/>
          <w:kern w:val="0"/>
          <w:szCs w:val="21"/>
        </w:rPr>
        <w:t>按参评建筑该类指标的评分</w:t>
      </w:r>
      <w:proofErr w:type="gramStart"/>
      <w:r w:rsidRPr="009362ED">
        <w:rPr>
          <w:rFonts w:ascii="Verdana" w:eastAsia="宋体" w:hAnsi="Verdana" w:cs="宋体"/>
          <w:color w:val="000000"/>
          <w:kern w:val="0"/>
          <w:szCs w:val="21"/>
        </w:rPr>
        <w:t>项实际得分值除</w:t>
      </w:r>
      <w:proofErr w:type="gramEnd"/>
      <w:r w:rsidRPr="009362ED">
        <w:rPr>
          <w:rFonts w:ascii="Verdana" w:eastAsia="宋体" w:hAnsi="Verdana" w:cs="宋体"/>
          <w:color w:val="000000"/>
          <w:kern w:val="0"/>
          <w:szCs w:val="21"/>
        </w:rPr>
        <w:t>以适用于该建筑的评分</w:t>
      </w:r>
      <w:proofErr w:type="gramStart"/>
      <w:r w:rsidRPr="009362ED">
        <w:rPr>
          <w:rFonts w:ascii="Verdana" w:eastAsia="宋体" w:hAnsi="Verdana" w:cs="宋体"/>
          <w:color w:val="000000"/>
          <w:kern w:val="0"/>
          <w:szCs w:val="21"/>
        </w:rPr>
        <w:t>项总分值</w:t>
      </w:r>
      <w:proofErr w:type="gramEnd"/>
      <w:r w:rsidRPr="009362ED">
        <w:rPr>
          <w:rFonts w:ascii="Verdana" w:eastAsia="宋体" w:hAnsi="Verdana" w:cs="宋体"/>
          <w:color w:val="000000"/>
          <w:kern w:val="0"/>
          <w:szCs w:val="21"/>
        </w:rPr>
        <w:t>再乘以</w:t>
      </w:r>
      <w:r w:rsidRPr="009362ED">
        <w:rPr>
          <w:rFonts w:ascii="Verdana" w:eastAsia="宋体" w:hAnsi="Verdana" w:cs="宋体"/>
          <w:color w:val="000000"/>
          <w:kern w:val="0"/>
          <w:szCs w:val="21"/>
        </w:rPr>
        <w:t xml:space="preserve"> 100 </w:t>
      </w:r>
      <w:r w:rsidRPr="009362ED">
        <w:rPr>
          <w:rFonts w:ascii="Verdana" w:eastAsia="宋体" w:hAnsi="Verdana" w:cs="宋体"/>
          <w:color w:val="000000"/>
          <w:kern w:val="0"/>
          <w:szCs w:val="21"/>
        </w:rPr>
        <w:t>分计算。</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3.2.6 </w:t>
      </w:r>
      <w:r w:rsidRPr="009362ED">
        <w:rPr>
          <w:rFonts w:ascii="Verdana" w:eastAsia="宋体" w:hAnsi="Verdana" w:cs="宋体"/>
          <w:color w:val="000000"/>
          <w:kern w:val="0"/>
          <w:szCs w:val="21"/>
        </w:rPr>
        <w:t>加分项的附加得分</w:t>
      </w:r>
      <w:r w:rsidRPr="009362ED">
        <w:rPr>
          <w:rFonts w:ascii="Verdana" w:eastAsia="宋体" w:hAnsi="Verdana" w:cs="宋体"/>
          <w:color w:val="000000"/>
          <w:kern w:val="0"/>
          <w:szCs w:val="21"/>
        </w:rPr>
        <w:t xml:space="preserve"> Q8 </w:t>
      </w:r>
      <w:r w:rsidRPr="009362ED">
        <w:rPr>
          <w:rFonts w:ascii="Verdana" w:eastAsia="宋体" w:hAnsi="Verdana" w:cs="宋体"/>
          <w:color w:val="000000"/>
          <w:kern w:val="0"/>
          <w:szCs w:val="21"/>
        </w:rPr>
        <w:t>按本</w:t>
      </w:r>
      <w:proofErr w:type="gramStart"/>
      <w:r w:rsidRPr="009362ED">
        <w:rPr>
          <w:rFonts w:ascii="Verdana" w:eastAsia="宋体" w:hAnsi="Verdana" w:cs="宋体"/>
          <w:color w:val="000000"/>
          <w:kern w:val="0"/>
          <w:szCs w:val="21"/>
        </w:rPr>
        <w:t>标准第</w:t>
      </w:r>
      <w:proofErr w:type="gramEnd"/>
      <w:r w:rsidRPr="009362ED">
        <w:rPr>
          <w:rFonts w:ascii="Verdana" w:eastAsia="宋体" w:hAnsi="Verdana" w:cs="宋体"/>
          <w:color w:val="000000"/>
          <w:kern w:val="0"/>
          <w:szCs w:val="21"/>
        </w:rPr>
        <w:t xml:space="preserve"> 11 </w:t>
      </w:r>
      <w:r w:rsidRPr="009362ED">
        <w:rPr>
          <w:rFonts w:ascii="Verdana" w:eastAsia="宋体" w:hAnsi="Verdana" w:cs="宋体"/>
          <w:color w:val="000000"/>
          <w:kern w:val="0"/>
          <w:szCs w:val="21"/>
        </w:rPr>
        <w:t>章的有关规定确定。</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3.2.7 </w:t>
      </w:r>
      <w:r w:rsidRPr="009362ED">
        <w:rPr>
          <w:rFonts w:ascii="Verdana" w:eastAsia="宋体" w:hAnsi="Verdana" w:cs="宋体"/>
          <w:color w:val="000000"/>
          <w:kern w:val="0"/>
          <w:szCs w:val="21"/>
        </w:rPr>
        <w:t>绿色建筑评价的总得分按下式进行计算，</w:t>
      </w:r>
      <w:proofErr w:type="gramStart"/>
      <w:r w:rsidRPr="009362ED">
        <w:rPr>
          <w:rFonts w:ascii="Verdana" w:eastAsia="宋体" w:hAnsi="Verdana" w:cs="宋体"/>
          <w:color w:val="000000"/>
          <w:kern w:val="0"/>
          <w:szCs w:val="21"/>
        </w:rPr>
        <w:t>其中评价</w:t>
      </w:r>
      <w:proofErr w:type="gramEnd"/>
      <w:r w:rsidRPr="009362ED">
        <w:rPr>
          <w:rFonts w:ascii="Verdana" w:eastAsia="宋体" w:hAnsi="Verdana" w:cs="宋体"/>
          <w:color w:val="000000"/>
          <w:kern w:val="0"/>
          <w:szCs w:val="21"/>
        </w:rPr>
        <w:t>指标体系</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类指标评分项的权重</w:t>
      </w:r>
      <w:r w:rsidRPr="009362ED">
        <w:rPr>
          <w:rFonts w:ascii="Verdana" w:eastAsia="宋体" w:hAnsi="Verdana" w:cs="宋体"/>
          <w:color w:val="000000"/>
          <w:kern w:val="0"/>
          <w:szCs w:val="21"/>
        </w:rPr>
        <w:t xml:space="preserve"> w1</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xml:space="preserve">w7 </w:t>
      </w:r>
      <w:r w:rsidRPr="009362ED">
        <w:rPr>
          <w:rFonts w:ascii="Verdana" w:eastAsia="宋体" w:hAnsi="Verdana" w:cs="宋体"/>
          <w:color w:val="000000"/>
          <w:kern w:val="0"/>
          <w:szCs w:val="21"/>
        </w:rPr>
        <w:t>按表</w:t>
      </w:r>
      <w:r w:rsidRPr="009362ED">
        <w:rPr>
          <w:rFonts w:ascii="Verdana" w:eastAsia="宋体" w:hAnsi="Verdana" w:cs="宋体"/>
          <w:color w:val="000000"/>
          <w:kern w:val="0"/>
          <w:szCs w:val="21"/>
        </w:rPr>
        <w:t xml:space="preserve"> 3.2.7 </w:t>
      </w:r>
      <w:r w:rsidRPr="009362ED">
        <w:rPr>
          <w:rFonts w:ascii="Verdana" w:eastAsia="宋体" w:hAnsi="Verdana" w:cs="宋体"/>
          <w:color w:val="000000"/>
          <w:kern w:val="0"/>
          <w:szCs w:val="21"/>
        </w:rPr>
        <w:t>取值。</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ΣQ</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w1Q1</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 2Q2</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w3Q3</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w4Q4</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w5Q5</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w6Q6</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w7Q7</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xml:space="preserve">Q8 </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3.2.7</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left"/>
        <w:rPr>
          <w:rFonts w:ascii="Verdana" w:eastAsia="宋体" w:hAnsi="Verdana" w:cs="宋体"/>
          <w:color w:val="1D1D1B"/>
          <w:kern w:val="0"/>
          <w:szCs w:val="21"/>
        </w:rPr>
      </w:pPr>
      <w:r>
        <w:rPr>
          <w:rFonts w:ascii="Verdana" w:eastAsia="宋体" w:hAnsi="Verdana" w:cs="宋体" w:hint="eastAsia"/>
          <w:color w:val="000000"/>
          <w:kern w:val="0"/>
          <w:szCs w:val="21"/>
        </w:rPr>
        <w:lastRenderedPageBreak/>
        <w:t xml:space="preserve">                   </w:t>
      </w:r>
      <w:bookmarkStart w:id="0" w:name="_GoBack"/>
      <w:bookmarkEnd w:id="0"/>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3.2.7 </w:t>
      </w:r>
      <w:r w:rsidRPr="009362ED">
        <w:rPr>
          <w:rFonts w:ascii="Verdana" w:eastAsia="宋体" w:hAnsi="Verdana" w:cs="宋体"/>
          <w:color w:val="000000"/>
          <w:kern w:val="0"/>
          <w:szCs w:val="21"/>
        </w:rPr>
        <w:t>绿色建筑各类评价指标的权重</w:t>
      </w:r>
    </w:p>
    <w:p w:rsidR="009362ED" w:rsidRPr="009362ED" w:rsidRDefault="009362ED" w:rsidP="009362ED">
      <w:pPr>
        <w:widowControl/>
        <w:shd w:val="clear" w:color="auto" w:fill="FFFFFF"/>
        <w:jc w:val="left"/>
        <w:rPr>
          <w:rFonts w:ascii="Verdana" w:eastAsia="宋体" w:hAnsi="Verdana" w:cs="宋体"/>
          <w:color w:val="1D1D1B"/>
          <w:kern w:val="0"/>
          <w:szCs w:val="21"/>
        </w:rPr>
      </w:pPr>
      <w:r>
        <w:rPr>
          <w:rFonts w:ascii="Verdana" w:eastAsia="宋体" w:hAnsi="Verdana" w:cs="宋体"/>
          <w:b/>
          <w:bCs/>
          <w:noProof/>
          <w:color w:val="1D1D1B"/>
          <w:kern w:val="0"/>
          <w:szCs w:val="21"/>
        </w:rPr>
        <w:drawing>
          <wp:inline distT="0" distB="0" distL="0" distR="0">
            <wp:extent cx="5238750" cy="1409700"/>
            <wp:effectExtent l="0" t="0" r="0" b="0"/>
            <wp:docPr id="26" name="图片 26" descr="http://www.njlsjzw.com/file/upload/201501/29/11-17-3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sjzw.com/file/upload/201501/29/11-17-31-5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1409700"/>
                    </a:xfrm>
                    <a:prstGeom prst="rect">
                      <a:avLst/>
                    </a:prstGeom>
                    <a:noFill/>
                    <a:ln>
                      <a:noFill/>
                    </a:ln>
                  </pic:spPr>
                </pic:pic>
              </a:graphicData>
            </a:graphic>
          </wp:inline>
        </w:drawing>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注：</w:t>
      </w:r>
      <w:r w:rsidRPr="009362ED">
        <w:rPr>
          <w:rFonts w:ascii="Verdana" w:eastAsia="宋体" w:hAnsi="Verdana" w:cs="宋体"/>
          <w:color w:val="000000"/>
          <w:kern w:val="0"/>
          <w:szCs w:val="21"/>
        </w:rPr>
        <w:t>1</w:t>
      </w:r>
      <w:r w:rsidRPr="009362ED">
        <w:rPr>
          <w:rFonts w:ascii="Verdana" w:eastAsia="宋体" w:hAnsi="Verdana" w:cs="宋体"/>
          <w:color w:val="000000"/>
          <w:kern w:val="0"/>
          <w:szCs w:val="21"/>
        </w:rPr>
        <w:t>、表中</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表示施工管理和运营管理两类指标不参与设计评价。</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2</w:t>
      </w:r>
      <w:r w:rsidRPr="009362ED">
        <w:rPr>
          <w:rFonts w:ascii="Verdana" w:eastAsia="宋体" w:hAnsi="Verdana" w:cs="宋体"/>
          <w:color w:val="000000"/>
          <w:kern w:val="0"/>
          <w:szCs w:val="21"/>
        </w:rPr>
        <w:t>、对于同时具有居住和公共功能的单体建筑，各</w:t>
      </w:r>
      <w:proofErr w:type="gramStart"/>
      <w:r w:rsidRPr="009362ED">
        <w:rPr>
          <w:rFonts w:ascii="Verdana" w:eastAsia="宋体" w:hAnsi="Verdana" w:cs="宋体"/>
          <w:color w:val="000000"/>
          <w:kern w:val="0"/>
          <w:szCs w:val="21"/>
        </w:rPr>
        <w:t>类评价</w:t>
      </w:r>
      <w:proofErr w:type="gramEnd"/>
      <w:r w:rsidRPr="009362ED">
        <w:rPr>
          <w:rFonts w:ascii="Verdana" w:eastAsia="宋体" w:hAnsi="Verdana" w:cs="宋体"/>
          <w:color w:val="000000"/>
          <w:kern w:val="0"/>
          <w:szCs w:val="21"/>
        </w:rPr>
        <w:t>指标权重取为居住建筑和公共</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建筑所对应权重的平均值。</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3.2.8 </w:t>
      </w:r>
      <w:r w:rsidRPr="009362ED">
        <w:rPr>
          <w:rFonts w:ascii="Verdana" w:eastAsia="宋体" w:hAnsi="Verdana" w:cs="宋体"/>
          <w:color w:val="000000"/>
          <w:kern w:val="0"/>
          <w:szCs w:val="21"/>
        </w:rPr>
        <w:t>绿色建筑分为</w:t>
      </w:r>
      <w:proofErr w:type="gramStart"/>
      <w:r w:rsidRPr="009362ED">
        <w:rPr>
          <w:rFonts w:ascii="Verdana" w:eastAsia="宋体" w:hAnsi="Verdana" w:cs="宋体"/>
          <w:color w:val="000000"/>
          <w:kern w:val="0"/>
          <w:szCs w:val="21"/>
        </w:rPr>
        <w:t>一</w:t>
      </w:r>
      <w:proofErr w:type="gramEnd"/>
      <w:r w:rsidRPr="009362ED">
        <w:rPr>
          <w:rFonts w:ascii="Verdana" w:eastAsia="宋体" w:hAnsi="Verdana" w:cs="宋体"/>
          <w:color w:val="000000"/>
          <w:kern w:val="0"/>
          <w:szCs w:val="21"/>
        </w:rPr>
        <w:t>星级、二星级、三星级</w:t>
      </w:r>
      <w:r w:rsidRPr="009362ED">
        <w:rPr>
          <w:rFonts w:ascii="Verdana" w:eastAsia="宋体" w:hAnsi="Verdana" w:cs="宋体"/>
          <w:color w:val="000000"/>
          <w:kern w:val="0"/>
          <w:szCs w:val="21"/>
        </w:rPr>
        <w:t xml:space="preserve"> 3 </w:t>
      </w:r>
      <w:proofErr w:type="gramStart"/>
      <w:r w:rsidRPr="009362ED">
        <w:rPr>
          <w:rFonts w:ascii="Verdana" w:eastAsia="宋体" w:hAnsi="Verdana" w:cs="宋体"/>
          <w:color w:val="000000"/>
          <w:kern w:val="0"/>
          <w:szCs w:val="21"/>
        </w:rPr>
        <w:t>个</w:t>
      </w:r>
      <w:proofErr w:type="gramEnd"/>
      <w:r w:rsidRPr="009362ED">
        <w:rPr>
          <w:rFonts w:ascii="Verdana" w:eastAsia="宋体" w:hAnsi="Verdana" w:cs="宋体"/>
          <w:color w:val="000000"/>
          <w:kern w:val="0"/>
          <w:szCs w:val="21"/>
        </w:rPr>
        <w:t>等级。</w:t>
      </w:r>
      <w:r w:rsidRPr="009362ED">
        <w:rPr>
          <w:rFonts w:ascii="Verdana" w:eastAsia="宋体" w:hAnsi="Verdana" w:cs="宋体"/>
          <w:color w:val="000000"/>
          <w:kern w:val="0"/>
          <w:szCs w:val="21"/>
        </w:rPr>
        <w:t xml:space="preserve">3 </w:t>
      </w:r>
      <w:proofErr w:type="gramStart"/>
      <w:r w:rsidRPr="009362ED">
        <w:rPr>
          <w:rFonts w:ascii="Verdana" w:eastAsia="宋体" w:hAnsi="Verdana" w:cs="宋体"/>
          <w:color w:val="000000"/>
          <w:kern w:val="0"/>
          <w:szCs w:val="21"/>
        </w:rPr>
        <w:t>个</w:t>
      </w:r>
      <w:proofErr w:type="gramEnd"/>
      <w:r w:rsidRPr="009362ED">
        <w:rPr>
          <w:rFonts w:ascii="Verdana" w:eastAsia="宋体" w:hAnsi="Verdana" w:cs="宋体"/>
          <w:color w:val="000000"/>
          <w:kern w:val="0"/>
          <w:szCs w:val="21"/>
        </w:rPr>
        <w:t>等级的绿色建筑均应满足本标准所有控制项的要求，且每类指标的评分项得分不应小于</w:t>
      </w:r>
      <w:r w:rsidRPr="009362ED">
        <w:rPr>
          <w:rFonts w:ascii="Verdana" w:eastAsia="宋体" w:hAnsi="Verdana" w:cs="宋体"/>
          <w:color w:val="000000"/>
          <w:kern w:val="0"/>
          <w:szCs w:val="21"/>
        </w:rPr>
        <w:t xml:space="preserve"> 40 </w:t>
      </w:r>
      <w:r w:rsidRPr="009362ED">
        <w:rPr>
          <w:rFonts w:ascii="Verdana" w:eastAsia="宋体" w:hAnsi="Verdana" w:cs="宋体"/>
          <w:color w:val="000000"/>
          <w:kern w:val="0"/>
          <w:szCs w:val="21"/>
        </w:rPr>
        <w:t>分。当绿色建筑总得分分别达到</w:t>
      </w:r>
      <w:r w:rsidRPr="009362ED">
        <w:rPr>
          <w:rFonts w:ascii="Verdana" w:eastAsia="宋体" w:hAnsi="Verdana" w:cs="宋体"/>
          <w:color w:val="000000"/>
          <w:kern w:val="0"/>
          <w:szCs w:val="21"/>
        </w:rPr>
        <w:t xml:space="preserve"> 50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xml:space="preserve">60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xml:space="preserve">80 </w:t>
      </w:r>
      <w:r w:rsidRPr="009362ED">
        <w:rPr>
          <w:rFonts w:ascii="Verdana" w:eastAsia="宋体" w:hAnsi="Verdana" w:cs="宋体"/>
          <w:color w:val="000000"/>
          <w:kern w:val="0"/>
          <w:szCs w:val="21"/>
        </w:rPr>
        <w:t>分时，绿色建筑等级分别为一星级、二星级、三星级。</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3.2.9 </w:t>
      </w:r>
      <w:r w:rsidRPr="009362ED">
        <w:rPr>
          <w:rFonts w:ascii="Verdana" w:eastAsia="宋体" w:hAnsi="Verdana" w:cs="宋体"/>
          <w:color w:val="000000"/>
          <w:kern w:val="0"/>
          <w:szCs w:val="21"/>
        </w:rPr>
        <w:t>对多功能的综合性单体建筑，应按本标准全部评价条文逐条对适用的区域进行评价，确定各评价条文的得分。</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000000"/>
          <w:kern w:val="0"/>
          <w:szCs w:val="21"/>
        </w:rPr>
        <w:t xml:space="preserve">4 </w:t>
      </w:r>
      <w:r w:rsidRPr="009362ED">
        <w:rPr>
          <w:rFonts w:ascii="Verdana" w:eastAsia="宋体" w:hAnsi="Verdana" w:cs="宋体"/>
          <w:color w:val="000000"/>
          <w:kern w:val="0"/>
          <w:szCs w:val="21"/>
        </w:rPr>
        <w:t>节地与室外环境</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4.1 </w:t>
      </w:r>
      <w:r w:rsidRPr="009362ED">
        <w:rPr>
          <w:rFonts w:ascii="Verdana" w:eastAsia="宋体" w:hAnsi="Verdana" w:cs="宋体"/>
          <w:color w:val="000000"/>
          <w:kern w:val="0"/>
          <w:szCs w:val="21"/>
        </w:rPr>
        <w:t>控制项</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xml:space="preserve">4.1.1 </w:t>
      </w:r>
      <w:r w:rsidRPr="009362ED">
        <w:rPr>
          <w:rFonts w:ascii="Verdana" w:eastAsia="宋体" w:hAnsi="Verdana" w:cs="宋体"/>
          <w:color w:val="000000"/>
          <w:kern w:val="0"/>
          <w:szCs w:val="21"/>
        </w:rPr>
        <w:t>项目选址应符合所在地城乡规划，且应符合各类保护区、文物古迹保护的建设控制要求。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4.1.2 </w:t>
      </w:r>
      <w:r w:rsidRPr="009362ED">
        <w:rPr>
          <w:rFonts w:ascii="Verdana" w:eastAsia="宋体" w:hAnsi="Verdana" w:cs="宋体"/>
          <w:color w:val="000000"/>
          <w:kern w:val="0"/>
          <w:szCs w:val="21"/>
        </w:rPr>
        <w:t>场地应无洪涝、滑坡、泥石流等自然灾害的威胁，无危险化学品、易燃易爆危险源的威胁，无电磁辐射、含氡土壤等危害。</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4.1.3 </w:t>
      </w:r>
      <w:r w:rsidRPr="009362ED">
        <w:rPr>
          <w:rFonts w:ascii="Verdana" w:eastAsia="宋体" w:hAnsi="Verdana" w:cs="宋体"/>
          <w:color w:val="000000"/>
          <w:kern w:val="0"/>
          <w:szCs w:val="21"/>
        </w:rPr>
        <w:t>场地内不应有排放超标的污染源。</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4.1.4 </w:t>
      </w:r>
      <w:r w:rsidRPr="009362ED">
        <w:rPr>
          <w:rFonts w:ascii="Verdana" w:eastAsia="宋体" w:hAnsi="Verdana" w:cs="宋体"/>
          <w:color w:val="000000"/>
          <w:kern w:val="0"/>
          <w:szCs w:val="21"/>
        </w:rPr>
        <w:t>建筑规划布局应满足日照标准，且不得降低周边建筑的日照标准。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000000"/>
          <w:kern w:val="0"/>
          <w:szCs w:val="21"/>
        </w:rPr>
        <w:t xml:space="preserve">4.2 </w:t>
      </w:r>
      <w:r w:rsidRPr="009362ED">
        <w:rPr>
          <w:rFonts w:ascii="Verdana" w:eastAsia="宋体" w:hAnsi="Verdana" w:cs="宋体"/>
          <w:color w:val="000000"/>
          <w:kern w:val="0"/>
          <w:szCs w:val="21"/>
        </w:rPr>
        <w:t>评分项</w:t>
      </w:r>
    </w:p>
    <w:p w:rsidR="009362ED" w:rsidRDefault="009362ED" w:rsidP="009362ED">
      <w:pPr>
        <w:widowControl/>
        <w:shd w:val="clear" w:color="auto" w:fill="FFFFFF"/>
        <w:jc w:val="left"/>
        <w:rPr>
          <w:rFonts w:ascii="Verdana" w:eastAsia="宋体" w:hAnsi="Verdana" w:cs="宋体" w:hint="eastAsia"/>
          <w:color w:val="000000"/>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土地利用</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 </w:t>
      </w:r>
      <w:r w:rsidRPr="009362ED">
        <w:rPr>
          <w:rFonts w:ascii="Verdana" w:eastAsia="宋体" w:hAnsi="Verdana" w:cs="宋体"/>
          <w:color w:val="000000"/>
          <w:kern w:val="0"/>
          <w:szCs w:val="21"/>
        </w:rPr>
        <w:t>节约集约利用土地，</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19 </w:t>
      </w:r>
      <w:r w:rsidRPr="009362ED">
        <w:rPr>
          <w:rFonts w:ascii="Verdana" w:eastAsia="宋体" w:hAnsi="Verdana" w:cs="宋体"/>
          <w:color w:val="000000"/>
          <w:kern w:val="0"/>
          <w:szCs w:val="21"/>
        </w:rPr>
        <w:t>分。对居住建筑，根据其人均居住用地指标按表</w:t>
      </w:r>
      <w:r w:rsidRPr="009362ED">
        <w:rPr>
          <w:rFonts w:ascii="Verdana" w:eastAsia="宋体" w:hAnsi="Verdana" w:cs="宋体"/>
          <w:color w:val="000000"/>
          <w:kern w:val="0"/>
          <w:szCs w:val="21"/>
        </w:rPr>
        <w:t xml:space="preserve"> 4.2.1-1 </w:t>
      </w:r>
      <w:r w:rsidRPr="009362ED">
        <w:rPr>
          <w:rFonts w:ascii="Verdana" w:eastAsia="宋体" w:hAnsi="Verdana" w:cs="宋体"/>
          <w:color w:val="000000"/>
          <w:kern w:val="0"/>
          <w:szCs w:val="21"/>
        </w:rPr>
        <w:t>的规则评分；对公共建筑，根据其容积率按表</w:t>
      </w:r>
      <w:r w:rsidRPr="009362ED">
        <w:rPr>
          <w:rFonts w:ascii="Verdana" w:eastAsia="宋体" w:hAnsi="Verdana" w:cs="宋体"/>
          <w:color w:val="000000"/>
          <w:kern w:val="0"/>
          <w:szCs w:val="21"/>
        </w:rPr>
        <w:t xml:space="preserve"> 4.2.1-2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left"/>
        <w:rPr>
          <w:rFonts w:ascii="Verdana" w:eastAsia="宋体" w:hAnsi="Verdana" w:cs="宋体"/>
          <w:color w:val="1D1D1B"/>
          <w:kern w:val="0"/>
          <w:szCs w:val="21"/>
        </w:rPr>
      </w:pPr>
      <w:r>
        <w:rPr>
          <w:rFonts w:ascii="Verdana" w:eastAsia="宋体" w:hAnsi="Verdana" w:cs="宋体" w:hint="eastAsia"/>
          <w:color w:val="000000"/>
          <w:kern w:val="0"/>
          <w:szCs w:val="21"/>
        </w:rPr>
        <w:lastRenderedPageBreak/>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4.2.1-1 </w:t>
      </w:r>
      <w:r w:rsidRPr="009362ED">
        <w:rPr>
          <w:rFonts w:ascii="Verdana" w:eastAsia="宋体" w:hAnsi="Verdana" w:cs="宋体"/>
          <w:color w:val="000000"/>
          <w:kern w:val="0"/>
          <w:szCs w:val="21"/>
        </w:rPr>
        <w:t>居住建筑人均居住用地指标评分规则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809625"/>
            <wp:effectExtent l="0" t="0" r="0" b="9525"/>
            <wp:docPr id="25" name="图片 25" descr="http://www.njlsjzw.com/file/upload/201501/29/11-40-24-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jlsjzw.com/file/upload/201501/29/11-40-24-9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809625"/>
                    </a:xfrm>
                    <a:prstGeom prst="rect">
                      <a:avLst/>
                    </a:prstGeom>
                    <a:noFill/>
                    <a:ln>
                      <a:noFill/>
                    </a:ln>
                  </pic:spPr>
                </pic:pic>
              </a:graphicData>
            </a:graphic>
          </wp:inline>
        </w:drawing>
      </w:r>
      <w:r>
        <w:rPr>
          <w:rFonts w:ascii="Verdana" w:eastAsia="宋体" w:hAnsi="Verdana" w:cs="宋体"/>
          <w:color w:val="1D1D1B"/>
          <w:kern w:val="0"/>
          <w:szCs w:val="21"/>
        </w:rPr>
        <w:br/>
      </w:r>
      <w:r>
        <w:rPr>
          <w:rFonts w:ascii="Verdana" w:eastAsia="宋体" w:hAnsi="Verdana" w:cs="宋体" w:hint="eastAsia"/>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4.2.1-2 </w:t>
      </w:r>
      <w:r w:rsidRPr="009362ED">
        <w:rPr>
          <w:rFonts w:ascii="Verdana" w:eastAsia="宋体" w:hAnsi="Verdana" w:cs="宋体"/>
          <w:color w:val="000000"/>
          <w:kern w:val="0"/>
          <w:szCs w:val="21"/>
        </w:rPr>
        <w:t>公共建筑容积率评分规则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1009650"/>
            <wp:effectExtent l="0" t="0" r="0" b="0"/>
            <wp:docPr id="24" name="图片 24" descr="http://www.njlsjzw.com/file/upload/201501/29/11-41-26-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jlsjzw.com/file/upload/201501/29/11-41-26-2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100965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4.2.2 </w:t>
      </w:r>
      <w:r w:rsidRPr="009362ED">
        <w:rPr>
          <w:rFonts w:ascii="Verdana" w:eastAsia="宋体" w:hAnsi="Verdana" w:cs="宋体"/>
          <w:color w:val="000000"/>
          <w:kern w:val="0"/>
          <w:szCs w:val="21"/>
        </w:rPr>
        <w:t>场地内合理设置绿化用地，</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居住建筑按下列规则分别评分并累计：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住区绿地率：新区建设达到</w:t>
      </w:r>
      <w:r w:rsidRPr="009362ED">
        <w:rPr>
          <w:rFonts w:ascii="Verdana" w:eastAsia="宋体" w:hAnsi="Verdana" w:cs="宋体"/>
          <w:color w:val="000000"/>
          <w:kern w:val="0"/>
          <w:szCs w:val="21"/>
        </w:rPr>
        <w:t xml:space="preserve"> 30%</w:t>
      </w:r>
      <w:r w:rsidRPr="009362ED">
        <w:rPr>
          <w:rFonts w:ascii="Verdana" w:eastAsia="宋体" w:hAnsi="Verdana" w:cs="宋体"/>
          <w:color w:val="000000"/>
          <w:kern w:val="0"/>
          <w:szCs w:val="21"/>
        </w:rPr>
        <w:t>，旧区改建达到</w:t>
      </w:r>
      <w:r w:rsidRPr="009362ED">
        <w:rPr>
          <w:rFonts w:ascii="Verdana" w:eastAsia="宋体" w:hAnsi="Verdana" w:cs="宋体"/>
          <w:color w:val="000000"/>
          <w:kern w:val="0"/>
          <w:szCs w:val="21"/>
        </w:rPr>
        <w:t xml:space="preserve"> 25%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住区人均公共绿地面积：按表</w:t>
      </w:r>
      <w:r w:rsidRPr="009362ED">
        <w:rPr>
          <w:rFonts w:ascii="Verdana" w:eastAsia="宋体" w:hAnsi="Verdana" w:cs="宋体"/>
          <w:color w:val="000000"/>
          <w:kern w:val="0"/>
          <w:szCs w:val="21"/>
        </w:rPr>
        <w:t xml:space="preserve"> 4.2.1-1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Pr>
          <w:rFonts w:ascii="Verdana" w:eastAsia="宋体" w:hAnsi="Verdana" w:cs="宋体" w:hint="eastAsia"/>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4.2.2-1 </w:t>
      </w:r>
      <w:r w:rsidRPr="009362ED">
        <w:rPr>
          <w:rFonts w:ascii="Verdana" w:eastAsia="宋体" w:hAnsi="Verdana" w:cs="宋体"/>
          <w:color w:val="000000"/>
          <w:kern w:val="0"/>
          <w:szCs w:val="21"/>
        </w:rPr>
        <w:t>住区人均公共绿地面积评分规则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1019175"/>
            <wp:effectExtent l="0" t="0" r="0" b="9525"/>
            <wp:docPr id="23" name="图片 23" descr="http://www.njlsjzw.com/file/upload/201501/29/14-07-39-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jlsjzw.com/file/upload/201501/29/14-07-39-4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1019175"/>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公共建筑按下列规则分别评分并累计：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绿地率：按表</w:t>
      </w:r>
      <w:r w:rsidRPr="009362ED">
        <w:rPr>
          <w:rFonts w:ascii="Verdana" w:eastAsia="宋体" w:hAnsi="Verdana" w:cs="宋体"/>
          <w:color w:val="000000"/>
          <w:kern w:val="0"/>
          <w:szCs w:val="21"/>
        </w:rPr>
        <w:t xml:space="preserve"> 4.2.1-2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Pr>
          <w:rFonts w:ascii="Verdana" w:eastAsia="宋体" w:hAnsi="Verdana" w:cs="宋体" w:hint="eastAsia"/>
          <w:color w:val="000000"/>
          <w:kern w:val="0"/>
          <w:szCs w:val="21"/>
        </w:rPr>
        <w:t xml:space="preserve">                    </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4.2.2-2 </w:t>
      </w:r>
      <w:r w:rsidRPr="009362ED">
        <w:rPr>
          <w:rFonts w:ascii="Verdana" w:eastAsia="宋体" w:hAnsi="Verdana" w:cs="宋体"/>
          <w:color w:val="000000"/>
          <w:kern w:val="0"/>
          <w:szCs w:val="21"/>
        </w:rPr>
        <w:t>公共建筑绿地率评分规则</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819150"/>
            <wp:effectExtent l="0" t="0" r="0" b="0"/>
            <wp:docPr id="22" name="图片 22" descr="http://www.njlsjzw.com/file/upload/201501/29/14-09-10-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jlsjzw.com/file/upload/201501/29/14-09-10-8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81915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绿地向社会公众开放，得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4.2.3 </w:t>
      </w:r>
      <w:r w:rsidRPr="009362ED">
        <w:rPr>
          <w:rFonts w:ascii="Verdana" w:eastAsia="宋体" w:hAnsi="Verdana" w:cs="宋体"/>
          <w:color w:val="000000"/>
          <w:kern w:val="0"/>
          <w:szCs w:val="21"/>
        </w:rPr>
        <w:t>合理开发利用地下空间，</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分，按表</w:t>
      </w:r>
      <w:r w:rsidRPr="009362ED">
        <w:rPr>
          <w:rFonts w:ascii="Verdana" w:eastAsia="宋体" w:hAnsi="Verdana" w:cs="宋体"/>
          <w:color w:val="000000"/>
          <w:kern w:val="0"/>
          <w:szCs w:val="21"/>
        </w:rPr>
        <w:t xml:space="preserve"> 4.2.3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Pr>
          <w:rFonts w:ascii="Verdana" w:eastAsia="宋体" w:hAnsi="Verdana" w:cs="宋体" w:hint="eastAsia"/>
          <w:color w:val="000000"/>
          <w:kern w:val="0"/>
          <w:szCs w:val="21"/>
        </w:rPr>
        <w:lastRenderedPageBreak/>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4.2.3 </w:t>
      </w:r>
      <w:r w:rsidRPr="009362ED">
        <w:rPr>
          <w:rFonts w:ascii="Verdana" w:eastAsia="宋体" w:hAnsi="Verdana" w:cs="宋体"/>
          <w:color w:val="000000"/>
          <w:kern w:val="0"/>
          <w:szCs w:val="21"/>
        </w:rPr>
        <w:t>地下空间开发利用评分规则</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1219200"/>
            <wp:effectExtent l="0" t="0" r="0" b="0"/>
            <wp:docPr id="21" name="图片 21" descr="http://www.njlsjzw.com/file/upload/201501/29/14-11-02-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jlsjzw.com/file/upload/201501/29/14-11-02-2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219200"/>
                    </a:xfrm>
                    <a:prstGeom prst="rect">
                      <a:avLst/>
                    </a:prstGeom>
                    <a:noFill/>
                    <a:ln>
                      <a:noFill/>
                    </a:ln>
                  </pic:spPr>
                </pic:pic>
              </a:graphicData>
            </a:graphic>
          </wp:inline>
        </w:drawing>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室外环境</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4.2.4 </w:t>
      </w:r>
      <w:r w:rsidRPr="009362ED">
        <w:rPr>
          <w:rFonts w:ascii="Verdana" w:eastAsia="宋体" w:hAnsi="Verdana" w:cs="宋体"/>
          <w:color w:val="000000"/>
          <w:kern w:val="0"/>
          <w:szCs w:val="21"/>
        </w:rPr>
        <w:t>建筑及照明设计避免产生光污染，</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玻璃幕墙可见光反射比不大于</w:t>
      </w:r>
      <w:r w:rsidRPr="009362ED">
        <w:rPr>
          <w:rFonts w:ascii="Verdana" w:eastAsia="宋体" w:hAnsi="Verdana" w:cs="宋体"/>
          <w:color w:val="000000"/>
          <w:kern w:val="0"/>
          <w:szCs w:val="21"/>
        </w:rPr>
        <w:t xml:space="preserve"> 0.2</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室外夜景照明光污染的限制符合</w:t>
      </w:r>
      <w:proofErr w:type="gramStart"/>
      <w:r w:rsidRPr="009362ED">
        <w:rPr>
          <w:rFonts w:ascii="Verdana" w:eastAsia="宋体" w:hAnsi="Verdana" w:cs="宋体"/>
          <w:color w:val="000000"/>
          <w:kern w:val="0"/>
          <w:szCs w:val="21"/>
        </w:rPr>
        <w:t>现行行业</w:t>
      </w:r>
      <w:proofErr w:type="gramEnd"/>
      <w:r w:rsidRPr="009362ED">
        <w:rPr>
          <w:rFonts w:ascii="Verdana" w:eastAsia="宋体" w:hAnsi="Verdana" w:cs="宋体"/>
          <w:color w:val="000000"/>
          <w:kern w:val="0"/>
          <w:szCs w:val="21"/>
        </w:rPr>
        <w:t>标准《城市夜景照明设计规范》</w:t>
      </w:r>
      <w:r w:rsidRPr="009362ED">
        <w:rPr>
          <w:rFonts w:ascii="Verdana" w:eastAsia="宋体" w:hAnsi="Verdana" w:cs="宋体"/>
          <w:color w:val="000000"/>
          <w:kern w:val="0"/>
          <w:szCs w:val="21"/>
        </w:rPr>
        <w:t xml:space="preserve">JGJ/T 163 </w:t>
      </w:r>
      <w:r w:rsidRPr="009362ED">
        <w:rPr>
          <w:rFonts w:ascii="Verdana" w:eastAsia="宋体" w:hAnsi="Verdana" w:cs="宋体"/>
          <w:color w:val="000000"/>
          <w:kern w:val="0"/>
          <w:szCs w:val="21"/>
        </w:rPr>
        <w:t>的规定，得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4.2.5 </w:t>
      </w:r>
      <w:r w:rsidRPr="009362ED">
        <w:rPr>
          <w:rFonts w:ascii="Verdana" w:eastAsia="宋体" w:hAnsi="Verdana" w:cs="宋体"/>
          <w:color w:val="000000"/>
          <w:kern w:val="0"/>
          <w:szCs w:val="21"/>
        </w:rPr>
        <w:t>场地内环境噪声符合现行国家标准《声环境质量标准》</w:t>
      </w:r>
      <w:r w:rsidRPr="009362ED">
        <w:rPr>
          <w:rFonts w:ascii="Verdana" w:eastAsia="宋体" w:hAnsi="Verdana" w:cs="宋体"/>
          <w:color w:val="000000"/>
          <w:kern w:val="0"/>
          <w:szCs w:val="21"/>
        </w:rPr>
        <w:t xml:space="preserve">GB 3096 </w:t>
      </w:r>
      <w:r w:rsidRPr="009362ED">
        <w:rPr>
          <w:rFonts w:ascii="Verdana" w:eastAsia="宋体" w:hAnsi="Verdana" w:cs="宋体"/>
          <w:color w:val="000000"/>
          <w:kern w:val="0"/>
          <w:szCs w:val="21"/>
        </w:rPr>
        <w:t>的有关规定，评价分值为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4.2.6 </w:t>
      </w:r>
      <w:r w:rsidRPr="009362ED">
        <w:rPr>
          <w:rFonts w:ascii="Verdana" w:eastAsia="宋体" w:hAnsi="Verdana" w:cs="宋体"/>
          <w:color w:val="000000"/>
          <w:kern w:val="0"/>
          <w:szCs w:val="21"/>
        </w:rPr>
        <w:t>场地内</w:t>
      </w:r>
      <w:proofErr w:type="gramStart"/>
      <w:r w:rsidRPr="009362ED">
        <w:rPr>
          <w:rFonts w:ascii="Verdana" w:eastAsia="宋体" w:hAnsi="Verdana" w:cs="宋体"/>
          <w:color w:val="000000"/>
          <w:kern w:val="0"/>
          <w:szCs w:val="21"/>
        </w:rPr>
        <w:t>风环境</w:t>
      </w:r>
      <w:proofErr w:type="gramEnd"/>
      <w:r w:rsidRPr="009362ED">
        <w:rPr>
          <w:rFonts w:ascii="Verdana" w:eastAsia="宋体" w:hAnsi="Verdana" w:cs="宋体"/>
          <w:color w:val="000000"/>
          <w:kern w:val="0"/>
          <w:szCs w:val="21"/>
        </w:rPr>
        <w:t>有利于室外行走、活动舒适和建筑的自然通风，</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在冬季典型风速和风向条件下，按下列规则分别评分并累计：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建筑物周围人行区风速小于</w:t>
      </w:r>
      <w:r w:rsidRPr="009362ED">
        <w:rPr>
          <w:rFonts w:ascii="Verdana" w:eastAsia="宋体" w:hAnsi="Verdana" w:cs="宋体"/>
          <w:color w:val="000000"/>
          <w:kern w:val="0"/>
          <w:szCs w:val="21"/>
        </w:rPr>
        <w:t xml:space="preserve"> 5m/s</w:t>
      </w:r>
      <w:r w:rsidRPr="009362ED">
        <w:rPr>
          <w:rFonts w:ascii="Verdana" w:eastAsia="宋体" w:hAnsi="Verdana" w:cs="宋体"/>
          <w:color w:val="000000"/>
          <w:kern w:val="0"/>
          <w:szCs w:val="21"/>
        </w:rPr>
        <w:t>，且室外风速放大系数小于</w:t>
      </w:r>
      <w:r w:rsidRPr="009362ED">
        <w:rPr>
          <w:rFonts w:ascii="Verdana" w:eastAsia="宋体" w:hAnsi="Verdana" w:cs="宋体"/>
          <w:color w:val="000000"/>
          <w:kern w:val="0"/>
          <w:szCs w:val="21"/>
        </w:rPr>
        <w:t xml:space="preserve"> 2</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2</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除迎风第一排建筑外，建筑迎风面与背风面表面风压差不大于</w:t>
      </w:r>
      <w:r w:rsidRPr="009362ED">
        <w:rPr>
          <w:rFonts w:ascii="Verdana" w:eastAsia="宋体" w:hAnsi="Verdana" w:cs="宋体"/>
          <w:color w:val="000000"/>
          <w:kern w:val="0"/>
          <w:szCs w:val="21"/>
        </w:rPr>
        <w:t xml:space="preserve"> 5Pa</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过渡季、夏季典型风速和风向条件下，按下列规则分别评分并累计：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场地内人活动区不出现涡旋或无风区，得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2) 50%</w:t>
      </w:r>
      <w:r w:rsidRPr="009362ED">
        <w:rPr>
          <w:rFonts w:ascii="Verdana" w:eastAsia="宋体" w:hAnsi="Verdana" w:cs="宋体"/>
          <w:color w:val="000000"/>
          <w:kern w:val="0"/>
          <w:szCs w:val="21"/>
        </w:rPr>
        <w:t>以上可开启外窗室内外表面的风压差大于</w:t>
      </w:r>
      <w:r w:rsidRPr="009362ED">
        <w:rPr>
          <w:rFonts w:ascii="Verdana" w:eastAsia="宋体" w:hAnsi="Verdana" w:cs="宋体"/>
          <w:color w:val="000000"/>
          <w:kern w:val="0"/>
          <w:szCs w:val="21"/>
        </w:rPr>
        <w:t xml:space="preserve"> 0.5Pa</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4.2.7 </w:t>
      </w:r>
      <w:r w:rsidRPr="009362ED">
        <w:rPr>
          <w:rFonts w:ascii="Verdana" w:eastAsia="宋体" w:hAnsi="Verdana" w:cs="宋体"/>
          <w:color w:val="000000"/>
          <w:kern w:val="0"/>
          <w:szCs w:val="21"/>
        </w:rPr>
        <w:t>采取措施降低热岛强度，</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红线范围内户外活动场地有乔木、构筑物遮荫措施的面积达到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1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20%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超过</w:t>
      </w:r>
      <w:r w:rsidRPr="009362ED">
        <w:rPr>
          <w:rFonts w:ascii="Verdana" w:eastAsia="宋体" w:hAnsi="Verdana" w:cs="宋体"/>
          <w:color w:val="000000"/>
          <w:kern w:val="0"/>
          <w:szCs w:val="21"/>
        </w:rPr>
        <w:t xml:space="preserve"> 70%</w:t>
      </w:r>
      <w:r w:rsidRPr="009362ED">
        <w:rPr>
          <w:rFonts w:ascii="Verdana" w:eastAsia="宋体" w:hAnsi="Verdana" w:cs="宋体"/>
          <w:color w:val="000000"/>
          <w:kern w:val="0"/>
          <w:szCs w:val="21"/>
        </w:rPr>
        <w:t>的道路路面、建筑屋面的太阳辐射反射系数不小于</w:t>
      </w:r>
      <w:r w:rsidRPr="009362ED">
        <w:rPr>
          <w:rFonts w:ascii="Verdana" w:eastAsia="宋体" w:hAnsi="Verdana" w:cs="宋体"/>
          <w:color w:val="000000"/>
          <w:kern w:val="0"/>
          <w:szCs w:val="21"/>
        </w:rPr>
        <w:t xml:space="preserve"> 0.4</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2</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Ⅲ</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交通设施与公共服务</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4.2.8 </w:t>
      </w:r>
      <w:r w:rsidRPr="009362ED">
        <w:rPr>
          <w:rFonts w:ascii="Verdana" w:eastAsia="宋体" w:hAnsi="Verdana" w:cs="宋体"/>
          <w:color w:val="000000"/>
          <w:kern w:val="0"/>
          <w:szCs w:val="21"/>
        </w:rPr>
        <w:t>场地与公共交通设施具有便捷的联系，</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场地出入口到达公共汽车站的步行距离不大于</w:t>
      </w:r>
      <w:r w:rsidRPr="009362ED">
        <w:rPr>
          <w:rFonts w:ascii="Verdana" w:eastAsia="宋体" w:hAnsi="Verdana" w:cs="宋体"/>
          <w:color w:val="000000"/>
          <w:kern w:val="0"/>
          <w:szCs w:val="21"/>
        </w:rPr>
        <w:t xml:space="preserve"> 500m</w:t>
      </w:r>
      <w:r w:rsidRPr="009362ED">
        <w:rPr>
          <w:rFonts w:ascii="Verdana" w:eastAsia="宋体" w:hAnsi="Verdana" w:cs="宋体"/>
          <w:color w:val="000000"/>
          <w:kern w:val="0"/>
          <w:szCs w:val="21"/>
        </w:rPr>
        <w:t>，或到达轨道交通站的步行距离不大于</w:t>
      </w:r>
      <w:r w:rsidRPr="009362ED">
        <w:rPr>
          <w:rFonts w:ascii="Verdana" w:eastAsia="宋体" w:hAnsi="Verdana" w:cs="宋体"/>
          <w:color w:val="000000"/>
          <w:kern w:val="0"/>
          <w:szCs w:val="21"/>
        </w:rPr>
        <w:t xml:space="preserve"> 800m</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场地出入口步行距离</w:t>
      </w:r>
      <w:r w:rsidRPr="009362ED">
        <w:rPr>
          <w:rFonts w:ascii="Verdana" w:eastAsia="宋体" w:hAnsi="Verdana" w:cs="宋体"/>
          <w:color w:val="000000"/>
          <w:kern w:val="0"/>
          <w:szCs w:val="21"/>
        </w:rPr>
        <w:t xml:space="preserve"> 800m </w:t>
      </w:r>
      <w:r w:rsidRPr="009362ED">
        <w:rPr>
          <w:rFonts w:ascii="Verdana" w:eastAsia="宋体" w:hAnsi="Verdana" w:cs="宋体"/>
          <w:color w:val="000000"/>
          <w:kern w:val="0"/>
          <w:szCs w:val="21"/>
        </w:rPr>
        <w:t>范围内设有</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条及以上线路的公共交通站点（含公共汽车站和轨道交通站），得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有便捷的人行通道联系公共交通站点，得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 xml:space="preserve">4.2.9 </w:t>
      </w:r>
      <w:r w:rsidRPr="009362ED">
        <w:rPr>
          <w:rFonts w:ascii="Verdana" w:eastAsia="宋体" w:hAnsi="Verdana" w:cs="宋体"/>
          <w:color w:val="000000"/>
          <w:kern w:val="0"/>
          <w:szCs w:val="21"/>
        </w:rPr>
        <w:t>场地内人行通道采用无障碍设计，评价分值为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4.2.10 </w:t>
      </w:r>
      <w:r w:rsidRPr="009362ED">
        <w:rPr>
          <w:rFonts w:ascii="Verdana" w:eastAsia="宋体" w:hAnsi="Verdana" w:cs="宋体"/>
          <w:color w:val="000000"/>
          <w:kern w:val="0"/>
          <w:szCs w:val="21"/>
        </w:rPr>
        <w:t>合理设置停车场所，</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自行车停车设施位置合理、方便出入，且有遮阳防雨措施，得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合理设置机动车停车设施，并采取下列措施中至少</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项，得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采用机械式停车库、地下停车库或停车楼等方式节约集约用地；</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采用错时停车方式向社会开放，提高停车场（库）使用效率；</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合理设计地面停车位，不挤占步行空间及活动场所。</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4.2.11 </w:t>
      </w:r>
      <w:r w:rsidRPr="009362ED">
        <w:rPr>
          <w:rFonts w:ascii="Verdana" w:eastAsia="宋体" w:hAnsi="Verdana" w:cs="宋体"/>
          <w:color w:val="000000"/>
          <w:kern w:val="0"/>
          <w:szCs w:val="21"/>
        </w:rPr>
        <w:t>提供便利的公共服务，</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居住建筑：满足下列要求中</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项，得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分；满足</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项及以上，得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场地出入口到达幼儿园的步行距离不大于</w:t>
      </w:r>
      <w:r w:rsidRPr="009362ED">
        <w:rPr>
          <w:rFonts w:ascii="Verdana" w:eastAsia="宋体" w:hAnsi="Verdana" w:cs="宋体"/>
          <w:color w:val="000000"/>
          <w:kern w:val="0"/>
          <w:szCs w:val="21"/>
        </w:rPr>
        <w:t xml:space="preserve"> 300m</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场地出入口到达小学的步行距离不大于</w:t>
      </w:r>
      <w:r w:rsidRPr="009362ED">
        <w:rPr>
          <w:rFonts w:ascii="Verdana" w:eastAsia="宋体" w:hAnsi="Verdana" w:cs="宋体"/>
          <w:color w:val="000000"/>
          <w:kern w:val="0"/>
          <w:szCs w:val="21"/>
        </w:rPr>
        <w:t xml:space="preserve"> 500m</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场地出入口到达商业服务设施的步行距离不大于</w:t>
      </w:r>
      <w:r w:rsidRPr="009362ED">
        <w:rPr>
          <w:rFonts w:ascii="Verdana" w:eastAsia="宋体" w:hAnsi="Verdana" w:cs="宋体"/>
          <w:color w:val="000000"/>
          <w:kern w:val="0"/>
          <w:szCs w:val="21"/>
        </w:rPr>
        <w:t xml:space="preserve"> 500m</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相关设施集中设置并向周边居民开放；</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场地</w:t>
      </w:r>
      <w:r w:rsidRPr="009362ED">
        <w:rPr>
          <w:rFonts w:ascii="Verdana" w:eastAsia="宋体" w:hAnsi="Verdana" w:cs="宋体"/>
          <w:color w:val="000000"/>
          <w:kern w:val="0"/>
          <w:szCs w:val="21"/>
        </w:rPr>
        <w:t xml:space="preserve"> 1000m </w:t>
      </w:r>
      <w:r w:rsidRPr="009362ED">
        <w:rPr>
          <w:rFonts w:ascii="Verdana" w:eastAsia="宋体" w:hAnsi="Verdana" w:cs="宋体"/>
          <w:color w:val="000000"/>
          <w:kern w:val="0"/>
          <w:szCs w:val="21"/>
        </w:rPr>
        <w:t>范围内设有</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种及以上的公共服务设施。</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公共建筑：满足下列要求中</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项，得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分；满足</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项及以上，得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2 </w:t>
      </w:r>
      <w:r w:rsidRPr="009362ED">
        <w:rPr>
          <w:rFonts w:ascii="Verdana" w:eastAsia="宋体" w:hAnsi="Verdana" w:cs="宋体"/>
          <w:color w:val="000000"/>
          <w:kern w:val="0"/>
          <w:szCs w:val="21"/>
        </w:rPr>
        <w:t>种及以上的公共建筑集中设置，或公共建筑兼容</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种及以上的公共服务功能；</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配套辅助设施设备共同使用、资源共享；</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建筑向社会公众提供开放的公共空间；</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室外活动场地错时向周边居民免费开放。</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Ⅳ</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场地设计与场地生态</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4.2.12 </w:t>
      </w:r>
      <w:r w:rsidRPr="009362ED">
        <w:rPr>
          <w:rFonts w:ascii="Verdana" w:eastAsia="宋体" w:hAnsi="Verdana" w:cs="宋体"/>
          <w:color w:val="000000"/>
          <w:kern w:val="0"/>
          <w:szCs w:val="21"/>
        </w:rPr>
        <w:t>结合现状地形地貌进行场地设计与建筑布局，保护场地内原有的自然水域、湿地和植被，采取表层</w:t>
      </w:r>
      <w:proofErr w:type="gramStart"/>
      <w:r w:rsidRPr="009362ED">
        <w:rPr>
          <w:rFonts w:ascii="Verdana" w:eastAsia="宋体" w:hAnsi="Verdana" w:cs="宋体"/>
          <w:color w:val="000000"/>
          <w:kern w:val="0"/>
          <w:szCs w:val="21"/>
        </w:rPr>
        <w:t>土利用</w:t>
      </w:r>
      <w:proofErr w:type="gramEnd"/>
      <w:r w:rsidRPr="009362ED">
        <w:rPr>
          <w:rFonts w:ascii="Verdana" w:eastAsia="宋体" w:hAnsi="Verdana" w:cs="宋体"/>
          <w:color w:val="000000"/>
          <w:kern w:val="0"/>
          <w:szCs w:val="21"/>
        </w:rPr>
        <w:t>等生态补偿措施，评价分值为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4.2.13 </w:t>
      </w:r>
      <w:r w:rsidRPr="009362ED">
        <w:rPr>
          <w:rFonts w:ascii="Verdana" w:eastAsia="宋体" w:hAnsi="Verdana" w:cs="宋体"/>
          <w:color w:val="000000"/>
          <w:kern w:val="0"/>
          <w:szCs w:val="21"/>
        </w:rPr>
        <w:t>充分利用场地空间合理设置绿色雨水基础设施，对大于</w:t>
      </w:r>
      <w:r w:rsidRPr="009362ED">
        <w:rPr>
          <w:rFonts w:ascii="Verdana" w:eastAsia="宋体" w:hAnsi="Verdana" w:cs="宋体"/>
          <w:color w:val="000000"/>
          <w:kern w:val="0"/>
          <w:szCs w:val="21"/>
        </w:rPr>
        <w:t xml:space="preserve"> 10hm2 </w:t>
      </w:r>
      <w:r w:rsidRPr="009362ED">
        <w:rPr>
          <w:rFonts w:ascii="Verdana" w:eastAsia="宋体" w:hAnsi="Verdana" w:cs="宋体"/>
          <w:color w:val="000000"/>
          <w:kern w:val="0"/>
          <w:szCs w:val="21"/>
        </w:rPr>
        <w:t>的场地进行雨水专项规划设计，</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下凹式绿地、雨水花园等有调蓄雨水功能的绿地和水体的面积之和占绿地面积的比例达到</w:t>
      </w:r>
      <w:r w:rsidRPr="009362ED">
        <w:rPr>
          <w:rFonts w:ascii="Verdana" w:eastAsia="宋体" w:hAnsi="Verdana" w:cs="宋体"/>
          <w:color w:val="000000"/>
          <w:kern w:val="0"/>
          <w:szCs w:val="21"/>
        </w:rPr>
        <w:t xml:space="preserve"> 30%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合理衔接和引导屋面雨水、道路雨水进入地面生态设施，并采取相应的径流污染控制措施，得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硬质铺装地面中透水铺装面积的比例达到</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4.2.14 </w:t>
      </w:r>
      <w:r w:rsidRPr="009362ED">
        <w:rPr>
          <w:rFonts w:ascii="Verdana" w:eastAsia="宋体" w:hAnsi="Verdana" w:cs="宋体"/>
          <w:color w:val="000000"/>
          <w:kern w:val="0"/>
          <w:szCs w:val="21"/>
        </w:rPr>
        <w:t>合理规划地表与屋面雨水径流，对场地雨水实施外排总量控制，</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分。其场地年径流总量控制率达到</w:t>
      </w:r>
      <w:r w:rsidRPr="009362ED">
        <w:rPr>
          <w:rFonts w:ascii="Verdana" w:eastAsia="宋体" w:hAnsi="Verdana" w:cs="宋体"/>
          <w:color w:val="000000"/>
          <w:kern w:val="0"/>
          <w:szCs w:val="21"/>
        </w:rPr>
        <w:t xml:space="preserve"> 55%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70%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4.2.15 </w:t>
      </w:r>
      <w:r w:rsidRPr="009362ED">
        <w:rPr>
          <w:rFonts w:ascii="Verdana" w:eastAsia="宋体" w:hAnsi="Verdana" w:cs="宋体"/>
          <w:color w:val="000000"/>
          <w:kern w:val="0"/>
          <w:szCs w:val="21"/>
        </w:rPr>
        <w:t>合理选择绿化方式，科学配置绿化植物，</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种植适应当地气候和土壤条件的植物，采用乔、灌、草结合的复层绿化，种植区域</w:t>
      </w:r>
      <w:r w:rsidRPr="009362ED">
        <w:rPr>
          <w:rFonts w:ascii="Verdana" w:eastAsia="宋体" w:hAnsi="Verdana" w:cs="宋体"/>
          <w:color w:val="000000"/>
          <w:kern w:val="0"/>
          <w:szCs w:val="21"/>
        </w:rPr>
        <w:lastRenderedPageBreak/>
        <w:t>覆土深度和排水能力满足植物生长需求，得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居住建筑绿地配植乔木不少于</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株</w:t>
      </w:r>
      <w:r w:rsidRPr="009362ED">
        <w:rPr>
          <w:rFonts w:ascii="Verdana" w:eastAsia="宋体" w:hAnsi="Verdana" w:cs="宋体"/>
          <w:color w:val="000000"/>
          <w:kern w:val="0"/>
          <w:szCs w:val="21"/>
        </w:rPr>
        <w:t>/100m2</w:t>
      </w:r>
      <w:r w:rsidRPr="009362ED">
        <w:rPr>
          <w:rFonts w:ascii="Verdana" w:eastAsia="宋体" w:hAnsi="Verdana" w:cs="宋体"/>
          <w:color w:val="000000"/>
          <w:kern w:val="0"/>
          <w:szCs w:val="21"/>
        </w:rPr>
        <w:t>，公共建筑采用垂直绿化、屋顶绿化等方式，得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 </w:t>
      </w:r>
      <w:r w:rsidRPr="009362ED">
        <w:rPr>
          <w:rFonts w:ascii="Verdana" w:eastAsia="宋体" w:hAnsi="Verdana" w:cs="宋体"/>
          <w:color w:val="000000"/>
          <w:kern w:val="0"/>
          <w:szCs w:val="21"/>
        </w:rPr>
        <w:t>节能与能源利用</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5.1 </w:t>
      </w:r>
      <w:r w:rsidRPr="009362ED">
        <w:rPr>
          <w:rFonts w:ascii="Verdana" w:eastAsia="宋体" w:hAnsi="Verdana" w:cs="宋体"/>
          <w:color w:val="000000"/>
          <w:kern w:val="0"/>
          <w:szCs w:val="21"/>
        </w:rPr>
        <w:t>控制项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5.1.1 </w:t>
      </w:r>
      <w:r w:rsidRPr="009362ED">
        <w:rPr>
          <w:rFonts w:ascii="Verdana" w:eastAsia="宋体" w:hAnsi="Verdana" w:cs="宋体"/>
          <w:color w:val="000000"/>
          <w:kern w:val="0"/>
          <w:szCs w:val="21"/>
        </w:rPr>
        <w:t>建筑设计应符合国家现行有关建筑节能设计标准中强制性条文的规定。</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5.1.2 </w:t>
      </w:r>
      <w:r w:rsidRPr="009362ED">
        <w:rPr>
          <w:rFonts w:ascii="Verdana" w:eastAsia="宋体" w:hAnsi="Verdana" w:cs="宋体"/>
          <w:color w:val="000000"/>
          <w:kern w:val="0"/>
          <w:szCs w:val="21"/>
        </w:rPr>
        <w:t>不应采用</w:t>
      </w:r>
      <w:proofErr w:type="gramStart"/>
      <w:r w:rsidRPr="009362ED">
        <w:rPr>
          <w:rFonts w:ascii="Verdana" w:eastAsia="宋体" w:hAnsi="Verdana" w:cs="宋体"/>
          <w:color w:val="000000"/>
          <w:kern w:val="0"/>
          <w:szCs w:val="21"/>
        </w:rPr>
        <w:t>电直接</w:t>
      </w:r>
      <w:proofErr w:type="gramEnd"/>
      <w:r w:rsidRPr="009362ED">
        <w:rPr>
          <w:rFonts w:ascii="Verdana" w:eastAsia="宋体" w:hAnsi="Verdana" w:cs="宋体"/>
          <w:color w:val="000000"/>
          <w:kern w:val="0"/>
          <w:szCs w:val="21"/>
        </w:rPr>
        <w:t>加热设备作为供暖空调系统的供暖热源和空气加湿热源。</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5.1.3 </w:t>
      </w:r>
      <w:r w:rsidRPr="009362ED">
        <w:rPr>
          <w:rFonts w:ascii="Verdana" w:eastAsia="宋体" w:hAnsi="Verdana" w:cs="宋体"/>
          <w:color w:val="000000"/>
          <w:kern w:val="0"/>
          <w:szCs w:val="21"/>
        </w:rPr>
        <w:t>冷热源、输配系统和照明等各部分能耗应进行独立分项计量。</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5.1.4 </w:t>
      </w:r>
      <w:r w:rsidRPr="009362ED">
        <w:rPr>
          <w:rFonts w:ascii="Verdana" w:eastAsia="宋体" w:hAnsi="Verdana" w:cs="宋体"/>
          <w:color w:val="000000"/>
          <w:kern w:val="0"/>
          <w:szCs w:val="21"/>
        </w:rPr>
        <w:t>各房间或场所的照明功率密度值不得高于现行国家标准《建筑照明设计标</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准》</w:t>
      </w:r>
      <w:r w:rsidRPr="009362ED">
        <w:rPr>
          <w:rFonts w:ascii="Verdana" w:eastAsia="宋体" w:hAnsi="Verdana" w:cs="宋体"/>
          <w:color w:val="000000"/>
          <w:kern w:val="0"/>
          <w:szCs w:val="21"/>
        </w:rPr>
        <w:t xml:space="preserve">GB 50034 </w:t>
      </w:r>
      <w:r w:rsidRPr="009362ED">
        <w:rPr>
          <w:rFonts w:ascii="Verdana" w:eastAsia="宋体" w:hAnsi="Verdana" w:cs="宋体"/>
          <w:color w:val="000000"/>
          <w:kern w:val="0"/>
          <w:szCs w:val="21"/>
        </w:rPr>
        <w:t>中的现行值规定。</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000000"/>
          <w:kern w:val="0"/>
          <w:szCs w:val="21"/>
        </w:rPr>
        <w:t xml:space="preserve">5.2 </w:t>
      </w:r>
      <w:r w:rsidRPr="009362ED">
        <w:rPr>
          <w:rFonts w:ascii="Verdana" w:eastAsia="宋体" w:hAnsi="Verdana" w:cs="宋体"/>
          <w:color w:val="000000"/>
          <w:kern w:val="0"/>
          <w:szCs w:val="21"/>
        </w:rPr>
        <w:t>评分项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建筑与围护结构</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 </w:t>
      </w:r>
      <w:r w:rsidRPr="009362ED">
        <w:rPr>
          <w:rFonts w:ascii="Verdana" w:eastAsia="宋体" w:hAnsi="Verdana" w:cs="宋体"/>
          <w:color w:val="000000"/>
          <w:kern w:val="0"/>
          <w:szCs w:val="21"/>
        </w:rPr>
        <w:t>结合场地自然条件，对建筑的体形、朝向、楼距、</w:t>
      </w:r>
      <w:proofErr w:type="gramStart"/>
      <w:r w:rsidRPr="009362ED">
        <w:rPr>
          <w:rFonts w:ascii="Verdana" w:eastAsia="宋体" w:hAnsi="Verdana" w:cs="宋体"/>
          <w:color w:val="000000"/>
          <w:kern w:val="0"/>
          <w:szCs w:val="21"/>
        </w:rPr>
        <w:t>窗墙比</w:t>
      </w:r>
      <w:proofErr w:type="gramEnd"/>
      <w:r w:rsidRPr="009362ED">
        <w:rPr>
          <w:rFonts w:ascii="Verdana" w:eastAsia="宋体" w:hAnsi="Verdana" w:cs="宋体"/>
          <w:color w:val="000000"/>
          <w:kern w:val="0"/>
          <w:szCs w:val="21"/>
        </w:rPr>
        <w:t>等进行优化设计，评价分值为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5.2.2 </w:t>
      </w:r>
      <w:r w:rsidRPr="009362ED">
        <w:rPr>
          <w:rFonts w:ascii="Verdana" w:eastAsia="宋体" w:hAnsi="Verdana" w:cs="宋体"/>
          <w:color w:val="000000"/>
          <w:kern w:val="0"/>
          <w:szCs w:val="21"/>
        </w:rPr>
        <w:t>外窗、玻璃幕墙的可开启部分能使建筑获得良好的通风，</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设玻璃</w:t>
      </w:r>
      <w:proofErr w:type="gramStart"/>
      <w:r w:rsidRPr="009362ED">
        <w:rPr>
          <w:rFonts w:ascii="Verdana" w:eastAsia="宋体" w:hAnsi="Verdana" w:cs="宋体"/>
          <w:color w:val="000000"/>
          <w:kern w:val="0"/>
          <w:szCs w:val="21"/>
        </w:rPr>
        <w:t>幕墙且</w:t>
      </w:r>
      <w:proofErr w:type="gramEnd"/>
      <w:r w:rsidRPr="009362ED">
        <w:rPr>
          <w:rFonts w:ascii="Verdana" w:eastAsia="宋体" w:hAnsi="Verdana" w:cs="宋体"/>
          <w:color w:val="000000"/>
          <w:kern w:val="0"/>
          <w:szCs w:val="21"/>
        </w:rPr>
        <w:t>不设外窗的建筑，其玻璃幕墙透明部分可开启面积比例达到</w:t>
      </w:r>
      <w:r w:rsidRPr="009362ED">
        <w:rPr>
          <w:rFonts w:ascii="Verdana" w:eastAsia="宋体" w:hAnsi="Verdana" w:cs="宋体"/>
          <w:color w:val="000000"/>
          <w:kern w:val="0"/>
          <w:szCs w:val="21"/>
        </w:rPr>
        <w:t xml:space="preserve"> 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设外窗且不设玻璃幕墙的建筑，外窗可开启面积比例达到</w:t>
      </w:r>
      <w:r w:rsidRPr="009362ED">
        <w:rPr>
          <w:rFonts w:ascii="Verdana" w:eastAsia="宋体" w:hAnsi="Verdana" w:cs="宋体"/>
          <w:color w:val="000000"/>
          <w:kern w:val="0"/>
          <w:szCs w:val="21"/>
        </w:rPr>
        <w:t xml:space="preserve"> 30%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35%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设玻璃幕墙和外窗的建筑，对其玻璃幕墙透明部分和外窗分别按本条第</w:t>
      </w:r>
      <w:r w:rsidRPr="009362ED">
        <w:rPr>
          <w:rFonts w:ascii="Verdana" w:eastAsia="宋体" w:hAnsi="Verdana" w:cs="宋体"/>
          <w:color w:val="000000"/>
          <w:kern w:val="0"/>
          <w:szCs w:val="21"/>
        </w:rPr>
        <w:t xml:space="preserve">1 </w:t>
      </w:r>
      <w:r w:rsidRPr="009362ED">
        <w:rPr>
          <w:rFonts w:ascii="Verdana" w:eastAsia="宋体" w:hAnsi="Verdana" w:cs="宋体"/>
          <w:color w:val="000000"/>
          <w:kern w:val="0"/>
          <w:szCs w:val="21"/>
        </w:rPr>
        <w:t>款和第</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款进行评价，得分取两项得分的平均值。</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5.2.3 </w:t>
      </w:r>
      <w:r w:rsidRPr="009362ED">
        <w:rPr>
          <w:rFonts w:ascii="Verdana" w:eastAsia="宋体" w:hAnsi="Verdana" w:cs="宋体"/>
          <w:color w:val="000000"/>
          <w:kern w:val="0"/>
          <w:szCs w:val="21"/>
        </w:rPr>
        <w:t>围护结构热工性能指标优于国家现行有关建筑节能设计标准的规定，</w:t>
      </w:r>
      <w:proofErr w:type="gramStart"/>
      <w:r w:rsidRPr="009362ED">
        <w:rPr>
          <w:rFonts w:ascii="Verdana" w:eastAsia="宋体" w:hAnsi="Verdana" w:cs="宋体"/>
          <w:color w:val="000000"/>
          <w:kern w:val="0"/>
          <w:szCs w:val="21"/>
        </w:rPr>
        <w:t>评分总分值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围护结构热工性能比国家现行有关建筑节能设计标准规定的提高幅度达到</w:t>
      </w:r>
      <w:r w:rsidRPr="009362ED">
        <w:rPr>
          <w:rFonts w:ascii="Verdana" w:eastAsia="宋体" w:hAnsi="Verdana" w:cs="宋体"/>
          <w:color w:val="000000"/>
          <w:kern w:val="0"/>
          <w:szCs w:val="21"/>
        </w:rPr>
        <w:t xml:space="preserve"> 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供暖空调全年计算负荷降低幅度达到</w:t>
      </w:r>
      <w:r w:rsidRPr="009362ED">
        <w:rPr>
          <w:rFonts w:ascii="Verdana" w:eastAsia="宋体" w:hAnsi="Verdana" w:cs="宋体"/>
          <w:color w:val="000000"/>
          <w:kern w:val="0"/>
          <w:szCs w:val="21"/>
        </w:rPr>
        <w:t xml:space="preserve"> 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p>
    <w:p w:rsidR="009362ED" w:rsidRDefault="009362ED" w:rsidP="009362ED">
      <w:pPr>
        <w:widowControl/>
        <w:shd w:val="clear" w:color="auto" w:fill="FFFFFF"/>
        <w:jc w:val="center"/>
        <w:rPr>
          <w:rFonts w:ascii="宋体" w:eastAsia="宋体" w:hAnsi="宋体" w:cs="宋体" w:hint="eastAsia"/>
          <w:color w:val="000000"/>
          <w:kern w:val="0"/>
          <w:szCs w:val="21"/>
        </w:rPr>
      </w:pP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供暖、通风与空调</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5.2.4 </w:t>
      </w:r>
      <w:r w:rsidRPr="009362ED">
        <w:rPr>
          <w:rFonts w:ascii="Verdana" w:eastAsia="宋体" w:hAnsi="Verdana" w:cs="宋体"/>
          <w:color w:val="000000"/>
          <w:kern w:val="0"/>
          <w:szCs w:val="21"/>
        </w:rPr>
        <w:t>供暖空调系统的冷、热源机组</w:t>
      </w:r>
      <w:proofErr w:type="gramStart"/>
      <w:r w:rsidRPr="009362ED">
        <w:rPr>
          <w:rFonts w:ascii="Verdana" w:eastAsia="宋体" w:hAnsi="Verdana" w:cs="宋体"/>
          <w:color w:val="000000"/>
          <w:kern w:val="0"/>
          <w:szCs w:val="21"/>
        </w:rPr>
        <w:t>能效均</w:t>
      </w:r>
      <w:proofErr w:type="gramEnd"/>
      <w:r w:rsidRPr="009362ED">
        <w:rPr>
          <w:rFonts w:ascii="Verdana" w:eastAsia="宋体" w:hAnsi="Verdana" w:cs="宋体"/>
          <w:color w:val="000000"/>
          <w:kern w:val="0"/>
          <w:szCs w:val="21"/>
        </w:rPr>
        <w:t>优于现行国家标准《公共建筑节能设计标准》</w:t>
      </w:r>
      <w:r w:rsidRPr="009362ED">
        <w:rPr>
          <w:rFonts w:ascii="Verdana" w:eastAsia="宋体" w:hAnsi="Verdana" w:cs="宋体"/>
          <w:color w:val="000000"/>
          <w:kern w:val="0"/>
          <w:szCs w:val="21"/>
        </w:rPr>
        <w:t xml:space="preserve">GB 50189 </w:t>
      </w:r>
      <w:r w:rsidRPr="009362ED">
        <w:rPr>
          <w:rFonts w:ascii="Verdana" w:eastAsia="宋体" w:hAnsi="Verdana" w:cs="宋体"/>
          <w:color w:val="000000"/>
          <w:kern w:val="0"/>
          <w:szCs w:val="21"/>
        </w:rPr>
        <w:t>的规定以及现行有关国家标准能效限定值的要求，评价分值为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分。对电机驱动的</w:t>
      </w:r>
      <w:proofErr w:type="gramStart"/>
      <w:r w:rsidRPr="009362ED">
        <w:rPr>
          <w:rFonts w:ascii="Verdana" w:eastAsia="宋体" w:hAnsi="Verdana" w:cs="宋体"/>
          <w:color w:val="000000"/>
          <w:kern w:val="0"/>
          <w:szCs w:val="21"/>
        </w:rPr>
        <w:t>蒸气</w:t>
      </w:r>
      <w:proofErr w:type="gramEnd"/>
      <w:r w:rsidRPr="009362ED">
        <w:rPr>
          <w:rFonts w:ascii="Verdana" w:eastAsia="宋体" w:hAnsi="Verdana" w:cs="宋体"/>
          <w:color w:val="000000"/>
          <w:kern w:val="0"/>
          <w:szCs w:val="21"/>
        </w:rPr>
        <w:t>压缩循环冷水（热泵）机组，直燃型和蒸汽型溴化</w:t>
      </w:r>
      <w:proofErr w:type="gramStart"/>
      <w:r w:rsidRPr="009362ED">
        <w:rPr>
          <w:rFonts w:ascii="Verdana" w:eastAsia="宋体" w:hAnsi="Verdana" w:cs="宋体"/>
          <w:color w:val="000000"/>
          <w:kern w:val="0"/>
          <w:szCs w:val="21"/>
        </w:rPr>
        <w:t>锂</w:t>
      </w:r>
      <w:proofErr w:type="gramEnd"/>
      <w:r w:rsidRPr="009362ED">
        <w:rPr>
          <w:rFonts w:ascii="Verdana" w:eastAsia="宋体" w:hAnsi="Verdana" w:cs="宋体"/>
          <w:color w:val="000000"/>
          <w:kern w:val="0"/>
          <w:szCs w:val="21"/>
        </w:rPr>
        <w:t>吸收式冷（温）水机组，单元式空气调节机、风管送风式和屋顶式空调机组，多联式空调（热泵）机组，燃煤、燃油和燃气锅炉，其能效指标比现行国家标准《公共建筑节能设计标准》</w:t>
      </w:r>
      <w:r w:rsidRPr="009362ED">
        <w:rPr>
          <w:rFonts w:ascii="Verdana" w:eastAsia="宋体" w:hAnsi="Verdana" w:cs="宋体"/>
          <w:color w:val="000000"/>
          <w:kern w:val="0"/>
          <w:szCs w:val="21"/>
        </w:rPr>
        <w:t xml:space="preserve">GB 50189 </w:t>
      </w:r>
      <w:r w:rsidRPr="009362ED">
        <w:rPr>
          <w:rFonts w:ascii="Verdana" w:eastAsia="宋体" w:hAnsi="Verdana" w:cs="宋体"/>
          <w:color w:val="000000"/>
          <w:kern w:val="0"/>
          <w:szCs w:val="21"/>
        </w:rPr>
        <w:t>规定值的提高或降低幅度满足表</w:t>
      </w:r>
      <w:r w:rsidRPr="009362ED">
        <w:rPr>
          <w:rFonts w:ascii="Verdana" w:eastAsia="宋体" w:hAnsi="Verdana" w:cs="宋体"/>
          <w:color w:val="000000"/>
          <w:kern w:val="0"/>
          <w:szCs w:val="21"/>
        </w:rPr>
        <w:t xml:space="preserve"> 5.2.4 </w:t>
      </w:r>
      <w:r w:rsidRPr="009362ED">
        <w:rPr>
          <w:rFonts w:ascii="Verdana" w:eastAsia="宋体" w:hAnsi="Verdana" w:cs="宋体"/>
          <w:color w:val="000000"/>
          <w:kern w:val="0"/>
          <w:szCs w:val="21"/>
        </w:rPr>
        <w:t>的要求；对房间空气调节器和家用燃气热水炉，其能效等级满足现行有关国家标准的节能评价值要求。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5.2.4 </w:t>
      </w:r>
      <w:r w:rsidRPr="009362ED">
        <w:rPr>
          <w:rFonts w:ascii="Verdana" w:eastAsia="宋体" w:hAnsi="Verdana" w:cs="宋体"/>
          <w:color w:val="000000"/>
          <w:kern w:val="0"/>
          <w:szCs w:val="21"/>
        </w:rPr>
        <w:t>冷、热源机组能效指标比现行国家标准《公共建筑节能设计标准》</w:t>
      </w:r>
      <w:r w:rsidRPr="009362ED">
        <w:rPr>
          <w:rFonts w:ascii="Verdana" w:eastAsia="宋体" w:hAnsi="Verdana" w:cs="宋体"/>
          <w:color w:val="000000"/>
          <w:kern w:val="0"/>
          <w:szCs w:val="21"/>
        </w:rPr>
        <w:t>GB 50189  </w:t>
      </w:r>
      <w:r w:rsidRPr="009362ED">
        <w:rPr>
          <w:rFonts w:ascii="Verdana" w:eastAsia="宋体" w:hAnsi="Verdana" w:cs="宋体"/>
          <w:color w:val="000000"/>
          <w:kern w:val="0"/>
          <w:szCs w:val="21"/>
        </w:rPr>
        <w:t>的提高或降低幅度</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10175" cy="2057400"/>
            <wp:effectExtent l="0" t="0" r="9525" b="0"/>
            <wp:docPr id="20" name="图片 20" descr="http://www.njlsjzw.com/file/upload/201501/29/15-42-42-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jlsjzw.com/file/upload/201501/29/15-42-42-3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205740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5.2.5 </w:t>
      </w:r>
      <w:r w:rsidRPr="009362ED">
        <w:rPr>
          <w:rFonts w:ascii="Verdana" w:eastAsia="宋体" w:hAnsi="Verdana" w:cs="宋体"/>
          <w:color w:val="000000"/>
          <w:kern w:val="0"/>
          <w:szCs w:val="21"/>
        </w:rPr>
        <w:t>集中供暖系统热水循环泵的耗电</w:t>
      </w:r>
      <w:proofErr w:type="gramStart"/>
      <w:r w:rsidRPr="009362ED">
        <w:rPr>
          <w:rFonts w:ascii="Verdana" w:eastAsia="宋体" w:hAnsi="Verdana" w:cs="宋体"/>
          <w:color w:val="000000"/>
          <w:kern w:val="0"/>
          <w:szCs w:val="21"/>
        </w:rPr>
        <w:t>输热比</w:t>
      </w:r>
      <w:proofErr w:type="gramEnd"/>
      <w:r w:rsidRPr="009362ED">
        <w:rPr>
          <w:rFonts w:ascii="Verdana" w:eastAsia="宋体" w:hAnsi="Verdana" w:cs="宋体"/>
          <w:color w:val="000000"/>
          <w:kern w:val="0"/>
          <w:szCs w:val="21"/>
        </w:rPr>
        <w:t>和通风空调系统风机的单位风量耗功率符合现行国家标准《公共建筑节能设计标准》</w:t>
      </w:r>
      <w:r w:rsidRPr="009362ED">
        <w:rPr>
          <w:rFonts w:ascii="Verdana" w:eastAsia="宋体" w:hAnsi="Verdana" w:cs="宋体"/>
          <w:color w:val="000000"/>
          <w:kern w:val="0"/>
          <w:szCs w:val="21"/>
        </w:rPr>
        <w:t xml:space="preserve">GB 50189 </w:t>
      </w:r>
      <w:r w:rsidRPr="009362ED">
        <w:rPr>
          <w:rFonts w:ascii="Verdana" w:eastAsia="宋体" w:hAnsi="Verdana" w:cs="宋体"/>
          <w:color w:val="000000"/>
          <w:kern w:val="0"/>
          <w:szCs w:val="21"/>
        </w:rPr>
        <w:t>等的有关规定，且空调冷热水系统循环水泵的耗电输冷（热）比比现行国家标准《民用建筑供暖通风与空气调节设计规范》</w:t>
      </w:r>
      <w:r w:rsidRPr="009362ED">
        <w:rPr>
          <w:rFonts w:ascii="Verdana" w:eastAsia="宋体" w:hAnsi="Verdana" w:cs="宋体"/>
          <w:color w:val="000000"/>
          <w:kern w:val="0"/>
          <w:szCs w:val="21"/>
        </w:rPr>
        <w:t xml:space="preserve">GB 50736 </w:t>
      </w:r>
      <w:r w:rsidRPr="009362ED">
        <w:rPr>
          <w:rFonts w:ascii="Verdana" w:eastAsia="宋体" w:hAnsi="Verdana" w:cs="宋体"/>
          <w:color w:val="000000"/>
          <w:kern w:val="0"/>
          <w:szCs w:val="21"/>
        </w:rPr>
        <w:t>规定值低</w:t>
      </w:r>
      <w:r w:rsidRPr="009362ED">
        <w:rPr>
          <w:rFonts w:ascii="Verdana" w:eastAsia="宋体" w:hAnsi="Verdana" w:cs="宋体"/>
          <w:color w:val="000000"/>
          <w:kern w:val="0"/>
          <w:szCs w:val="21"/>
        </w:rPr>
        <w:t xml:space="preserve"> 20%</w:t>
      </w:r>
      <w:r w:rsidRPr="009362ED">
        <w:rPr>
          <w:rFonts w:ascii="Verdana" w:eastAsia="宋体" w:hAnsi="Verdana" w:cs="宋体"/>
          <w:color w:val="000000"/>
          <w:kern w:val="0"/>
          <w:szCs w:val="21"/>
        </w:rPr>
        <w:t>，评价分值为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5.2.6 </w:t>
      </w:r>
      <w:r w:rsidRPr="009362ED">
        <w:rPr>
          <w:rFonts w:ascii="Verdana" w:eastAsia="宋体" w:hAnsi="Verdana" w:cs="宋体"/>
          <w:color w:val="000000"/>
          <w:kern w:val="0"/>
          <w:szCs w:val="21"/>
        </w:rPr>
        <w:t>合理选择和优化供暖、通风与空调系统，</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分，根据系统能耗的降低幅度按表</w:t>
      </w:r>
      <w:r w:rsidRPr="009362ED">
        <w:rPr>
          <w:rFonts w:ascii="Verdana" w:eastAsia="宋体" w:hAnsi="Verdana" w:cs="宋体"/>
          <w:color w:val="000000"/>
          <w:kern w:val="0"/>
          <w:szCs w:val="21"/>
        </w:rPr>
        <w:t xml:space="preserve"> 5.2.6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5.2.6 </w:t>
      </w:r>
      <w:r w:rsidRPr="009362ED">
        <w:rPr>
          <w:rFonts w:ascii="Verdana" w:eastAsia="宋体" w:hAnsi="Verdana" w:cs="宋体"/>
          <w:color w:val="000000"/>
          <w:kern w:val="0"/>
          <w:szCs w:val="21"/>
        </w:rPr>
        <w:t>供暖、通风与空调系统能耗降低幅度评分规则</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819150"/>
            <wp:effectExtent l="0" t="0" r="0" b="0"/>
            <wp:docPr id="19" name="图片 19" descr="http://www.njlsjzw.com/file/upload/201501/29/15-44-45-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jlsjzw.com/file/upload/201501/29/15-44-45-4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81915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5.2.7 </w:t>
      </w:r>
      <w:r w:rsidRPr="009362ED">
        <w:rPr>
          <w:rFonts w:ascii="Verdana" w:eastAsia="宋体" w:hAnsi="Verdana" w:cs="宋体"/>
          <w:color w:val="000000"/>
          <w:kern w:val="0"/>
          <w:szCs w:val="21"/>
        </w:rPr>
        <w:t>采取措施降低过渡季节供暖、通风与空调系统能耗，评价分值为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5.2.8 </w:t>
      </w:r>
      <w:r w:rsidRPr="009362ED">
        <w:rPr>
          <w:rFonts w:ascii="Verdana" w:eastAsia="宋体" w:hAnsi="Verdana" w:cs="宋体"/>
          <w:color w:val="000000"/>
          <w:kern w:val="0"/>
          <w:szCs w:val="21"/>
        </w:rPr>
        <w:t>采取措施降低部分负荷、部分空间使用下的供暖、通风与空调系统能耗，</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区分房间的朝向，细分供暖、空调区域，对系统进行分区控制，得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合理选配空调冷、热源机组台数与容量，制定实施根据负荷变化调节制冷</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热</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量的控制策略，且空调冷源的部分负荷性能符合现行国家标准《公共建筑节能设计标准》</w:t>
      </w:r>
      <w:r w:rsidRPr="009362ED">
        <w:rPr>
          <w:rFonts w:ascii="Verdana" w:eastAsia="宋体" w:hAnsi="Verdana" w:cs="宋体"/>
          <w:color w:val="000000"/>
          <w:kern w:val="0"/>
          <w:szCs w:val="21"/>
        </w:rPr>
        <w:t xml:space="preserve">GB 50189 </w:t>
      </w:r>
      <w:r w:rsidRPr="009362ED">
        <w:rPr>
          <w:rFonts w:ascii="Verdana" w:eastAsia="宋体" w:hAnsi="Verdana" w:cs="宋体"/>
          <w:color w:val="000000"/>
          <w:kern w:val="0"/>
          <w:szCs w:val="21"/>
        </w:rPr>
        <w:t>的规定，得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水系统、</w:t>
      </w:r>
      <w:proofErr w:type="gramStart"/>
      <w:r w:rsidRPr="009362ED">
        <w:rPr>
          <w:rFonts w:ascii="Verdana" w:eastAsia="宋体" w:hAnsi="Verdana" w:cs="宋体"/>
          <w:color w:val="000000"/>
          <w:kern w:val="0"/>
          <w:szCs w:val="21"/>
        </w:rPr>
        <w:t>风系统</w:t>
      </w:r>
      <w:proofErr w:type="gramEnd"/>
      <w:r w:rsidRPr="009362ED">
        <w:rPr>
          <w:rFonts w:ascii="Verdana" w:eastAsia="宋体" w:hAnsi="Verdana" w:cs="宋体"/>
          <w:color w:val="000000"/>
          <w:kern w:val="0"/>
          <w:szCs w:val="21"/>
        </w:rPr>
        <w:t>采用变频技术，且采取相应的水力平衡措施，得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Ⅲ</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照明与电气</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5.2.9 </w:t>
      </w:r>
      <w:r w:rsidRPr="009362ED">
        <w:rPr>
          <w:rFonts w:ascii="Verdana" w:eastAsia="宋体" w:hAnsi="Verdana" w:cs="宋体"/>
          <w:color w:val="000000"/>
          <w:kern w:val="0"/>
          <w:szCs w:val="21"/>
        </w:rPr>
        <w:t>走廊、楼梯间、门厅、大堂、大空间、地下停车场等场所的照明系统采取分区、定时、感应等节能控制措施，评价分值为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 xml:space="preserve">5.2.10 </w:t>
      </w:r>
      <w:r w:rsidRPr="009362ED">
        <w:rPr>
          <w:rFonts w:ascii="Verdana" w:eastAsia="宋体" w:hAnsi="Verdana" w:cs="宋体"/>
          <w:color w:val="000000"/>
          <w:kern w:val="0"/>
          <w:szCs w:val="21"/>
        </w:rPr>
        <w:t>照明功率密度值达到现行国家标准《建筑照明设计标准》</w:t>
      </w:r>
      <w:r w:rsidRPr="009362ED">
        <w:rPr>
          <w:rFonts w:ascii="Verdana" w:eastAsia="宋体" w:hAnsi="Verdana" w:cs="宋体"/>
          <w:color w:val="000000"/>
          <w:kern w:val="0"/>
          <w:szCs w:val="21"/>
        </w:rPr>
        <w:t xml:space="preserve">GB 50034 </w:t>
      </w:r>
      <w:r w:rsidRPr="009362ED">
        <w:rPr>
          <w:rFonts w:ascii="Verdana" w:eastAsia="宋体" w:hAnsi="Verdana" w:cs="宋体"/>
          <w:color w:val="000000"/>
          <w:kern w:val="0"/>
          <w:szCs w:val="21"/>
        </w:rPr>
        <w:t>中的目标值规定，</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分。主要功能房间满足要求，得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分；所有区域均满足要求，得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5.2.11 </w:t>
      </w:r>
      <w:r w:rsidRPr="009362ED">
        <w:rPr>
          <w:rFonts w:ascii="Verdana" w:eastAsia="宋体" w:hAnsi="Verdana" w:cs="宋体"/>
          <w:color w:val="000000"/>
          <w:kern w:val="0"/>
          <w:szCs w:val="21"/>
        </w:rPr>
        <w:t>合理选用电梯和自动扶梯，并采取电梯群控、扶梯自动启停等节能控制措施，评价分值为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5.2.12 </w:t>
      </w:r>
      <w:r w:rsidRPr="009362ED">
        <w:rPr>
          <w:rFonts w:ascii="Verdana" w:eastAsia="宋体" w:hAnsi="Verdana" w:cs="宋体"/>
          <w:color w:val="000000"/>
          <w:kern w:val="0"/>
          <w:szCs w:val="21"/>
        </w:rPr>
        <w:t>合理选用节能型电气设备，</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三相配电变压器满足现行国家标准《三相配电变压器能效限定值及节能评价值》</w:t>
      </w:r>
      <w:r w:rsidRPr="009362ED">
        <w:rPr>
          <w:rFonts w:ascii="Verdana" w:eastAsia="宋体" w:hAnsi="Verdana" w:cs="宋体"/>
          <w:color w:val="000000"/>
          <w:kern w:val="0"/>
          <w:szCs w:val="21"/>
        </w:rPr>
        <w:t xml:space="preserve">GB 20052 </w:t>
      </w:r>
      <w:r w:rsidRPr="009362ED">
        <w:rPr>
          <w:rFonts w:ascii="Verdana" w:eastAsia="宋体" w:hAnsi="Verdana" w:cs="宋体"/>
          <w:color w:val="000000"/>
          <w:kern w:val="0"/>
          <w:szCs w:val="21"/>
        </w:rPr>
        <w:t>的节能评价值要求，得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水泵、风机等设备，及其他电气装置满足相关现行国家标准的节能评价值要求，得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Ⅳ</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能量综合利用</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5.2.13 </w:t>
      </w:r>
      <w:r w:rsidRPr="009362ED">
        <w:rPr>
          <w:rFonts w:ascii="Verdana" w:eastAsia="宋体" w:hAnsi="Verdana" w:cs="宋体"/>
          <w:color w:val="000000"/>
          <w:kern w:val="0"/>
          <w:szCs w:val="21"/>
        </w:rPr>
        <w:t>排风能量回收系统设计合理并运行可靠，评价分值为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5.2.14 </w:t>
      </w:r>
      <w:r w:rsidRPr="009362ED">
        <w:rPr>
          <w:rFonts w:ascii="Verdana" w:eastAsia="宋体" w:hAnsi="Verdana" w:cs="宋体"/>
          <w:color w:val="000000"/>
          <w:kern w:val="0"/>
          <w:szCs w:val="21"/>
        </w:rPr>
        <w:t>合理采用蓄冷蓄热系统，评价分值为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5.2.15 </w:t>
      </w:r>
      <w:r w:rsidRPr="009362ED">
        <w:rPr>
          <w:rFonts w:ascii="Verdana" w:eastAsia="宋体" w:hAnsi="Verdana" w:cs="宋体"/>
          <w:color w:val="000000"/>
          <w:kern w:val="0"/>
          <w:szCs w:val="21"/>
        </w:rPr>
        <w:t>合理利用余热废热解决建筑的蒸汽、供暖或生活热水需求，评价分值为</w:t>
      </w:r>
      <w:r w:rsidRPr="009362ED">
        <w:rPr>
          <w:rFonts w:ascii="Verdana" w:eastAsia="宋体" w:hAnsi="Verdana" w:cs="宋体"/>
          <w:color w:val="000000"/>
          <w:kern w:val="0"/>
          <w:szCs w:val="21"/>
        </w:rPr>
        <w:t xml:space="preserve">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5.2.16 </w:t>
      </w:r>
      <w:r w:rsidRPr="009362ED">
        <w:rPr>
          <w:rFonts w:ascii="Verdana" w:eastAsia="宋体" w:hAnsi="Verdana" w:cs="宋体"/>
          <w:color w:val="000000"/>
          <w:kern w:val="0"/>
          <w:szCs w:val="21"/>
        </w:rPr>
        <w:t>根据当地气候和自然资源条件，合理利用可再生能源，</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分，按表</w:t>
      </w:r>
      <w:r w:rsidRPr="009362ED">
        <w:rPr>
          <w:rFonts w:ascii="Verdana" w:eastAsia="宋体" w:hAnsi="Verdana" w:cs="宋体"/>
          <w:color w:val="000000"/>
          <w:kern w:val="0"/>
          <w:szCs w:val="21"/>
        </w:rPr>
        <w:t xml:space="preserve"> 5.2.16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5.2.16 </w:t>
      </w:r>
      <w:r w:rsidRPr="009362ED">
        <w:rPr>
          <w:rFonts w:ascii="Verdana" w:eastAsia="宋体" w:hAnsi="Verdana" w:cs="宋体"/>
          <w:color w:val="000000"/>
          <w:kern w:val="0"/>
          <w:szCs w:val="21"/>
        </w:rPr>
        <w:t>可再生能源利用评分规则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4752975"/>
            <wp:effectExtent l="0" t="0" r="0" b="9525"/>
            <wp:docPr id="18" name="图片 18" descr="http://www.njlsjzw.com/file/upload/201501/29/15-48-02-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jlsjzw.com/file/upload/201501/29/15-48-02-96-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4752975"/>
                    </a:xfrm>
                    <a:prstGeom prst="rect">
                      <a:avLst/>
                    </a:prstGeom>
                    <a:noFill/>
                    <a:ln>
                      <a:noFill/>
                    </a:ln>
                  </pic:spPr>
                </pic:pic>
              </a:graphicData>
            </a:graphic>
          </wp:inline>
        </w:drawing>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 </w:t>
      </w:r>
      <w:r w:rsidRPr="009362ED">
        <w:rPr>
          <w:rFonts w:ascii="Verdana" w:eastAsia="宋体" w:hAnsi="Verdana" w:cs="宋体"/>
          <w:color w:val="000000"/>
          <w:kern w:val="0"/>
          <w:szCs w:val="21"/>
        </w:rPr>
        <w:t>节水与水资源利用</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6.1 </w:t>
      </w:r>
      <w:r w:rsidRPr="009362ED">
        <w:rPr>
          <w:rFonts w:ascii="Verdana" w:eastAsia="宋体" w:hAnsi="Verdana" w:cs="宋体"/>
          <w:color w:val="000000"/>
          <w:kern w:val="0"/>
          <w:szCs w:val="21"/>
        </w:rPr>
        <w:t>控制项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6.1.1 </w:t>
      </w:r>
      <w:r w:rsidRPr="009362ED">
        <w:rPr>
          <w:rFonts w:ascii="Verdana" w:eastAsia="宋体" w:hAnsi="Verdana" w:cs="宋体"/>
          <w:color w:val="000000"/>
          <w:kern w:val="0"/>
          <w:szCs w:val="21"/>
        </w:rPr>
        <w:t>应制定水资源利用方案，统筹利用各种水资源。</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6.1.2 </w:t>
      </w:r>
      <w:r w:rsidRPr="009362ED">
        <w:rPr>
          <w:rFonts w:ascii="Verdana" w:eastAsia="宋体" w:hAnsi="Verdana" w:cs="宋体"/>
          <w:color w:val="000000"/>
          <w:kern w:val="0"/>
          <w:szCs w:val="21"/>
        </w:rPr>
        <w:t>给排水系统设置应合理、完善、安全。</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6.1.3 </w:t>
      </w:r>
      <w:r w:rsidRPr="009362ED">
        <w:rPr>
          <w:rFonts w:ascii="Verdana" w:eastAsia="宋体" w:hAnsi="Verdana" w:cs="宋体"/>
          <w:color w:val="000000"/>
          <w:kern w:val="0"/>
          <w:szCs w:val="21"/>
        </w:rPr>
        <w:t>应采用节水器具。</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6.2 </w:t>
      </w:r>
      <w:r w:rsidRPr="009362ED">
        <w:rPr>
          <w:rFonts w:ascii="Verdana" w:eastAsia="宋体" w:hAnsi="Verdana" w:cs="宋体"/>
          <w:color w:val="000000"/>
          <w:kern w:val="0"/>
          <w:szCs w:val="21"/>
        </w:rPr>
        <w:t>评分项</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节水系统</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xml:space="preserve">6.2.1 </w:t>
      </w:r>
      <w:r w:rsidRPr="009362ED">
        <w:rPr>
          <w:rFonts w:ascii="Verdana" w:eastAsia="宋体" w:hAnsi="Verdana" w:cs="宋体"/>
          <w:color w:val="000000"/>
          <w:kern w:val="0"/>
          <w:szCs w:val="21"/>
        </w:rPr>
        <w:t>建筑平均日用水量满足现行国家标准《民用建筑节水设计标准》</w:t>
      </w:r>
      <w:r w:rsidRPr="009362ED">
        <w:rPr>
          <w:rFonts w:ascii="Verdana" w:eastAsia="宋体" w:hAnsi="Verdana" w:cs="宋体"/>
          <w:color w:val="000000"/>
          <w:kern w:val="0"/>
          <w:szCs w:val="21"/>
        </w:rPr>
        <w:t>GB 50555</w:t>
      </w:r>
      <w:r w:rsidRPr="009362ED">
        <w:rPr>
          <w:rFonts w:ascii="Verdana" w:eastAsia="宋体" w:hAnsi="Verdana" w:cs="宋体"/>
          <w:color w:val="000000"/>
          <w:kern w:val="0"/>
          <w:szCs w:val="21"/>
        </w:rPr>
        <w:t>中的节水用水定额的要求，</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分，达到节水用水定额的上限值的要求，得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分；达到上限值与下限值的平均值要求，得</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分；达到下限值的要求，得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6.2.2 </w:t>
      </w:r>
      <w:r w:rsidRPr="009362ED">
        <w:rPr>
          <w:rFonts w:ascii="Verdana" w:eastAsia="宋体" w:hAnsi="Verdana" w:cs="宋体"/>
          <w:color w:val="000000"/>
          <w:kern w:val="0"/>
          <w:szCs w:val="21"/>
        </w:rPr>
        <w:t>采取有效措施避免管网漏损，</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选用密闭性能好的阀门、设备，使用耐腐蚀、耐久性能好的管材、管件，得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室外埋地管道采取有效措施避免管网漏损，得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设计阶段根据水平衡测试的要求安装分级计量水表；运行阶段提供用水量计量情况和管网漏损检测、整改的报告，得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6.2.3 </w:t>
      </w:r>
      <w:r w:rsidRPr="009362ED">
        <w:rPr>
          <w:rFonts w:ascii="Verdana" w:eastAsia="宋体" w:hAnsi="Verdana" w:cs="宋体"/>
          <w:color w:val="000000"/>
          <w:kern w:val="0"/>
          <w:szCs w:val="21"/>
        </w:rPr>
        <w:t>给水系统无超压出流现象，</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分。用水点供水压力不大于</w:t>
      </w:r>
      <w:r w:rsidRPr="009362ED">
        <w:rPr>
          <w:rFonts w:ascii="Verdana" w:eastAsia="宋体" w:hAnsi="Verdana" w:cs="宋体"/>
          <w:color w:val="000000"/>
          <w:kern w:val="0"/>
          <w:szCs w:val="21"/>
        </w:rPr>
        <w:t>0.30MPa</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分；不大于</w:t>
      </w:r>
      <w:r w:rsidRPr="009362ED">
        <w:rPr>
          <w:rFonts w:ascii="Verdana" w:eastAsia="宋体" w:hAnsi="Verdana" w:cs="宋体"/>
          <w:color w:val="000000"/>
          <w:kern w:val="0"/>
          <w:szCs w:val="21"/>
        </w:rPr>
        <w:t xml:space="preserve"> 0.20MPa</w:t>
      </w:r>
      <w:r w:rsidRPr="009362ED">
        <w:rPr>
          <w:rFonts w:ascii="Verdana" w:eastAsia="宋体" w:hAnsi="Verdana" w:cs="宋体"/>
          <w:color w:val="000000"/>
          <w:kern w:val="0"/>
          <w:szCs w:val="21"/>
        </w:rPr>
        <w:t>，且不小于用水器具要求的最低工作压力，得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6.2.4 </w:t>
      </w:r>
      <w:r w:rsidRPr="009362ED">
        <w:rPr>
          <w:rFonts w:ascii="Verdana" w:eastAsia="宋体" w:hAnsi="Verdana" w:cs="宋体"/>
          <w:color w:val="000000"/>
          <w:kern w:val="0"/>
          <w:szCs w:val="21"/>
        </w:rPr>
        <w:t>设置用水计量装置，</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按使用用途，对厨房、卫生间、绿化、空调系统、游泳池、景观等用水分别设置用水计量装置，统计用水量，得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按付费或管理单元，分别设置用水计量装置，统计用水量，得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6.2.5 </w:t>
      </w:r>
      <w:r w:rsidRPr="009362ED">
        <w:rPr>
          <w:rFonts w:ascii="Verdana" w:eastAsia="宋体" w:hAnsi="Verdana" w:cs="宋体"/>
          <w:color w:val="000000"/>
          <w:kern w:val="0"/>
          <w:szCs w:val="21"/>
        </w:rPr>
        <w:t>公用浴室采取节水措施，</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采用带恒温控制和温度显示功能的冷热水混合淋浴器，得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设置用者付费的设施，得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节水器具与设备</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6.2.6 </w:t>
      </w:r>
      <w:r w:rsidRPr="009362ED">
        <w:rPr>
          <w:rFonts w:ascii="Verdana" w:eastAsia="宋体" w:hAnsi="Verdana" w:cs="宋体"/>
          <w:color w:val="000000"/>
          <w:kern w:val="0"/>
          <w:szCs w:val="21"/>
        </w:rPr>
        <w:t>使用较高用水效率等级的卫生器具，</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分。用水效率等级达到三级，得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分；达到二级，得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6.2.7 </w:t>
      </w:r>
      <w:r w:rsidRPr="009362ED">
        <w:rPr>
          <w:rFonts w:ascii="Verdana" w:eastAsia="宋体" w:hAnsi="Verdana" w:cs="宋体"/>
          <w:color w:val="000000"/>
          <w:kern w:val="0"/>
          <w:szCs w:val="21"/>
        </w:rPr>
        <w:t>绿化灌溉采用节水灌溉方式，</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采用节水灌溉系统，得</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分；在此基础上设置土壤湿度感应器、雨天关闭装置等节水控制措施，再得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种植无需永久灌溉植物，得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6.2.8 </w:t>
      </w:r>
      <w:r w:rsidRPr="009362ED">
        <w:rPr>
          <w:rFonts w:ascii="Verdana" w:eastAsia="宋体" w:hAnsi="Verdana" w:cs="宋体"/>
          <w:color w:val="000000"/>
          <w:kern w:val="0"/>
          <w:szCs w:val="21"/>
        </w:rPr>
        <w:t>空调设备或系统采用节水冷却技术，</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循环冷却水系统设置水处理措施；采取加大集水盘、设置平衡管或平衡水箱的方式，避免冷却水泵停泵时冷却水溢出，得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运行时，冷却塔的蒸发耗水量占冷却水补水量的比例不低于</w:t>
      </w:r>
      <w:r w:rsidRPr="009362ED">
        <w:rPr>
          <w:rFonts w:ascii="Verdana" w:eastAsia="宋体" w:hAnsi="Verdana" w:cs="宋体"/>
          <w:color w:val="000000"/>
          <w:kern w:val="0"/>
          <w:szCs w:val="21"/>
        </w:rPr>
        <w:t xml:space="preserve"> 80%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采用无蒸发耗水量的冷却技术，得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6.2.9 </w:t>
      </w:r>
      <w:r w:rsidRPr="009362ED">
        <w:rPr>
          <w:rFonts w:ascii="Verdana" w:eastAsia="宋体" w:hAnsi="Verdana" w:cs="宋体"/>
          <w:color w:val="000000"/>
          <w:kern w:val="0"/>
          <w:szCs w:val="21"/>
        </w:rPr>
        <w:t>除卫生器具、绿化灌溉和冷却塔外的其他用水采用了节水技术或措施，</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分。其他用水中采用了节水技术或措施的比例达到</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80%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Ⅲ</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非传统水源利用</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6.2.10 </w:t>
      </w:r>
      <w:r w:rsidRPr="009362ED">
        <w:rPr>
          <w:rFonts w:ascii="Verdana" w:eastAsia="宋体" w:hAnsi="Verdana" w:cs="宋体"/>
          <w:color w:val="000000"/>
          <w:kern w:val="0"/>
          <w:szCs w:val="21"/>
        </w:rPr>
        <w:t>合理使用非传统水源，</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15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住宅、办公、商场、旅馆类建筑：根据其按下列公式计算的非传统水源</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利用率，或者其非传统水源利用措施，按表</w:t>
      </w:r>
      <w:r w:rsidRPr="009362ED">
        <w:rPr>
          <w:rFonts w:ascii="Verdana" w:eastAsia="宋体" w:hAnsi="Verdana" w:cs="宋体"/>
          <w:color w:val="000000"/>
          <w:kern w:val="0"/>
          <w:szCs w:val="21"/>
        </w:rPr>
        <w:t xml:space="preserve"> 6.2.10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left"/>
        <w:rPr>
          <w:rFonts w:ascii="Verdana" w:eastAsia="宋体" w:hAnsi="Verdana" w:cs="宋体"/>
          <w:color w:val="1D1D1B"/>
          <w:kern w:val="0"/>
          <w:szCs w:val="21"/>
        </w:rPr>
      </w:pPr>
      <w:r>
        <w:rPr>
          <w:rFonts w:ascii="Verdana" w:eastAsia="宋体" w:hAnsi="Verdana" w:cs="宋体"/>
          <w:noProof/>
          <w:color w:val="1D1D1B"/>
          <w:kern w:val="0"/>
          <w:szCs w:val="21"/>
        </w:rPr>
        <w:lastRenderedPageBreak/>
        <w:drawing>
          <wp:inline distT="0" distB="0" distL="0" distR="0">
            <wp:extent cx="3248025" cy="542925"/>
            <wp:effectExtent l="0" t="0" r="9525" b="9525"/>
            <wp:docPr id="17" name="图片 17" descr="http://www.njlsjzw.com/file/upload/201501/29/16-04-25-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jlsjzw.com/file/upload/201501/29/16-04-25-5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inline>
        </w:drawing>
      </w:r>
    </w:p>
    <w:p w:rsidR="009362ED" w:rsidRPr="009362ED" w:rsidRDefault="009362ED" w:rsidP="009362ED">
      <w:pPr>
        <w:widowControl/>
        <w:shd w:val="clear" w:color="auto" w:fill="FFFFFF"/>
        <w:jc w:val="left"/>
        <w:rPr>
          <w:rFonts w:ascii="Verdana" w:eastAsia="宋体" w:hAnsi="Verdana" w:cs="宋体"/>
          <w:color w:val="1D1D1B"/>
          <w:kern w:val="0"/>
          <w:szCs w:val="21"/>
        </w:rPr>
      </w:pPr>
      <w:r>
        <w:rPr>
          <w:rFonts w:ascii="Verdana" w:eastAsia="宋体" w:hAnsi="Verdana" w:cs="宋体"/>
          <w:noProof/>
          <w:color w:val="1D1D1B"/>
          <w:kern w:val="0"/>
          <w:szCs w:val="21"/>
        </w:rPr>
        <w:drawing>
          <wp:inline distT="0" distB="0" distL="0" distR="0">
            <wp:extent cx="3248025" cy="542925"/>
            <wp:effectExtent l="0" t="0" r="9525" b="9525"/>
            <wp:docPr id="16" name="图片 16" descr="http://www.njlsjzw.com/file/upload/201501/29/16-04-42-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jlsjzw.com/file/upload/201501/29/16-04-42-1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inline>
        </w:drawing>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3409950" cy="266700"/>
            <wp:effectExtent l="0" t="0" r="0" b="0"/>
            <wp:docPr id="15" name="图片 15" descr="http://www.njlsjzw.com/file/upload/201501/29/16-04-55-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jlsjzw.com/file/upload/201501/29/16-04-55-52-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0" cy="26670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式中：</w:t>
      </w:r>
      <w:r w:rsidRPr="009362ED">
        <w:rPr>
          <w:rFonts w:ascii="Verdana" w:eastAsia="宋体" w:hAnsi="Verdana" w:cs="宋体"/>
          <w:color w:val="000000"/>
          <w:kern w:val="0"/>
          <w:szCs w:val="21"/>
        </w:rPr>
        <w:t>Ru――</w:t>
      </w:r>
      <w:r w:rsidRPr="009362ED">
        <w:rPr>
          <w:rFonts w:ascii="Verdana" w:eastAsia="宋体" w:hAnsi="Verdana" w:cs="宋体"/>
          <w:color w:val="000000"/>
          <w:kern w:val="0"/>
          <w:szCs w:val="21"/>
        </w:rPr>
        <w:t>非传统水源利用率，％；</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Wu――</w:t>
      </w:r>
      <w:r w:rsidRPr="009362ED">
        <w:rPr>
          <w:rFonts w:ascii="Verdana" w:eastAsia="宋体" w:hAnsi="Verdana" w:cs="宋体"/>
          <w:color w:val="000000"/>
          <w:kern w:val="0"/>
          <w:szCs w:val="21"/>
        </w:rPr>
        <w:t>非传统水源设计使用量（设计阶段）或实际使用量（运行阶段），</w:t>
      </w:r>
      <w:r w:rsidRPr="009362ED">
        <w:rPr>
          <w:rFonts w:ascii="Verdana" w:eastAsia="宋体" w:hAnsi="Verdana" w:cs="宋体"/>
          <w:color w:val="000000"/>
          <w:kern w:val="0"/>
          <w:szCs w:val="21"/>
        </w:rPr>
        <w:t>m3/a</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WR――</w:t>
      </w:r>
      <w:r w:rsidRPr="009362ED">
        <w:rPr>
          <w:rFonts w:ascii="Verdana" w:eastAsia="宋体" w:hAnsi="Verdana" w:cs="宋体"/>
          <w:color w:val="000000"/>
          <w:kern w:val="0"/>
          <w:szCs w:val="21"/>
        </w:rPr>
        <w:t>再生水设计利用量（设计阶段）或实际利用量（运行阶段），</w:t>
      </w:r>
      <w:r w:rsidRPr="009362ED">
        <w:rPr>
          <w:rFonts w:ascii="Verdana" w:eastAsia="宋体" w:hAnsi="Verdana" w:cs="宋体"/>
          <w:color w:val="000000"/>
          <w:kern w:val="0"/>
          <w:szCs w:val="21"/>
        </w:rPr>
        <w:t>m3/a</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Wr――</w:t>
      </w:r>
      <w:r w:rsidRPr="009362ED">
        <w:rPr>
          <w:rFonts w:ascii="Verdana" w:eastAsia="宋体" w:hAnsi="Verdana" w:cs="宋体"/>
          <w:color w:val="000000"/>
          <w:kern w:val="0"/>
          <w:szCs w:val="21"/>
        </w:rPr>
        <w:t>雨水设计利用量（设计阶段）或实际利用量（运行阶段），</w:t>
      </w:r>
      <w:r w:rsidRPr="009362ED">
        <w:rPr>
          <w:rFonts w:ascii="Verdana" w:eastAsia="宋体" w:hAnsi="Verdana" w:cs="宋体"/>
          <w:color w:val="000000"/>
          <w:kern w:val="0"/>
          <w:szCs w:val="21"/>
        </w:rPr>
        <w:t>m3/a</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Ws――</w:t>
      </w:r>
      <w:r w:rsidRPr="009362ED">
        <w:rPr>
          <w:rFonts w:ascii="Verdana" w:eastAsia="宋体" w:hAnsi="Verdana" w:cs="宋体"/>
          <w:color w:val="000000"/>
          <w:kern w:val="0"/>
          <w:szCs w:val="21"/>
        </w:rPr>
        <w:t>海水设计利用量（设计阶段）或实际利用量（运行阶段），</w:t>
      </w:r>
      <w:r w:rsidRPr="009362ED">
        <w:rPr>
          <w:rFonts w:ascii="Verdana" w:eastAsia="宋体" w:hAnsi="Verdana" w:cs="宋体"/>
          <w:color w:val="000000"/>
          <w:kern w:val="0"/>
          <w:szCs w:val="21"/>
        </w:rPr>
        <w:t>m3/a</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Wo――</w:t>
      </w:r>
      <w:r w:rsidRPr="009362ED">
        <w:rPr>
          <w:rFonts w:ascii="Verdana" w:eastAsia="宋体" w:hAnsi="Verdana" w:cs="宋体"/>
          <w:color w:val="000000"/>
          <w:kern w:val="0"/>
          <w:szCs w:val="21"/>
        </w:rPr>
        <w:t>其他非传统水源利用量（设计阶段）或实际利用量（运行阶段），</w:t>
      </w:r>
      <w:r w:rsidRPr="009362ED">
        <w:rPr>
          <w:rFonts w:ascii="Verdana" w:eastAsia="宋体" w:hAnsi="Verdana" w:cs="宋体"/>
          <w:color w:val="000000"/>
          <w:kern w:val="0"/>
          <w:szCs w:val="21"/>
        </w:rPr>
        <w:t>m3/a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w:t>
      </w:r>
      <w:r w:rsidRPr="009362ED">
        <w:rPr>
          <w:rFonts w:ascii="Verdana" w:eastAsia="宋体" w:hAnsi="Verdana" w:cs="宋体"/>
          <w:color w:val="000000"/>
          <w:kern w:val="0"/>
          <w:szCs w:val="21"/>
        </w:rPr>
        <w:t>设计用水总量（设计阶段）或实际用水总量（运行阶段），</w:t>
      </w:r>
      <w:r w:rsidRPr="009362ED">
        <w:rPr>
          <w:rFonts w:ascii="Verdana" w:eastAsia="宋体" w:hAnsi="Verdana" w:cs="宋体"/>
          <w:color w:val="000000"/>
          <w:kern w:val="0"/>
          <w:szCs w:val="21"/>
        </w:rPr>
        <w:t>m3/a</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注：式中设计使用量为年用水量，由平均日用水量和用水时间计算得出。实际使用量应通过统计全年水表计量的情况计算得出。式中用水量计算不包含冷却水补水量和室外景观水体补水量。</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6.2.10 </w:t>
      </w:r>
      <w:r w:rsidRPr="009362ED">
        <w:rPr>
          <w:rFonts w:ascii="Verdana" w:eastAsia="宋体" w:hAnsi="Verdana" w:cs="宋体"/>
          <w:color w:val="000000"/>
          <w:kern w:val="0"/>
          <w:szCs w:val="21"/>
        </w:rPr>
        <w:t>非传统水源利用率评分规则</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181600" cy="2686050"/>
            <wp:effectExtent l="0" t="0" r="0" b="0"/>
            <wp:docPr id="14" name="图片 14" descr="http://www.njlsjzw.com/file/upload/201501/29/16-07-38-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jlsjzw.com/file/upload/201501/29/16-07-38-46-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2686050"/>
                    </a:xfrm>
                    <a:prstGeom prst="rect">
                      <a:avLst/>
                    </a:prstGeom>
                    <a:noFill/>
                    <a:ln>
                      <a:noFill/>
                    </a:ln>
                  </pic:spPr>
                </pic:pic>
              </a:graphicData>
            </a:graphic>
          </wp:inline>
        </w:drawing>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153025" cy="1047750"/>
            <wp:effectExtent l="0" t="0" r="9525" b="0"/>
            <wp:docPr id="13" name="图片 13" descr="http://www.njlsjzw.com/file/upload/201501/29/16-08-09-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jlsjzw.com/file/upload/201501/29/16-08-09-15-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104775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注：</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为有市政再生水供应时的要求；</w:t>
      </w:r>
      <w:r w:rsidRPr="009362ED">
        <w:rPr>
          <w:rFonts w:ascii="Verdana" w:eastAsia="宋体" w:hAnsi="Verdana" w:cs="宋体"/>
          <w:color w:val="000000"/>
          <w:kern w:val="0"/>
          <w:szCs w:val="21"/>
        </w:rPr>
        <w:t>“</w:t>
      </w:r>
      <w:r w:rsidRPr="009362ED">
        <w:rPr>
          <w:rFonts w:ascii="Arial" w:eastAsia="宋体" w:hAnsi="Arial" w:cs="Arial"/>
          <w:color w:val="000000"/>
          <w:kern w:val="0"/>
          <w:szCs w:val="21"/>
        </w:rPr>
        <w:t>○</w:t>
      </w:r>
      <w:r w:rsidRPr="009362ED">
        <w:rPr>
          <w:rFonts w:ascii="Verdana" w:eastAsia="宋体" w:hAnsi="Verdana" w:cs="Verdana"/>
          <w:color w:val="000000"/>
          <w:kern w:val="0"/>
          <w:szCs w:val="21"/>
        </w:rPr>
        <w:t>”</w:t>
      </w:r>
      <w:r w:rsidRPr="009362ED">
        <w:rPr>
          <w:rFonts w:ascii="Verdana" w:eastAsia="宋体" w:hAnsi="Verdana" w:cs="宋体"/>
          <w:color w:val="000000"/>
          <w:kern w:val="0"/>
          <w:szCs w:val="21"/>
        </w:rPr>
        <w:t>为无市政再生水供应时的要求。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其他类型建筑：按下列规则分别评分并累计：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绿化灌溉、道路冲洗、洗车用水采用非传统水源的用水量占其总用水量的比例不低于</w:t>
      </w:r>
      <w:r w:rsidRPr="009362ED">
        <w:rPr>
          <w:rFonts w:ascii="Verdana" w:eastAsia="宋体" w:hAnsi="Verdana" w:cs="宋体"/>
          <w:color w:val="000000"/>
          <w:kern w:val="0"/>
          <w:szCs w:val="21"/>
        </w:rPr>
        <w:t xml:space="preserve"> 80%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冲厕采用非传统水源的用水量占其用水量的比例不低于</w:t>
      </w:r>
      <w:r w:rsidRPr="009362ED">
        <w:rPr>
          <w:rFonts w:ascii="Verdana" w:eastAsia="宋体" w:hAnsi="Verdana" w:cs="宋体"/>
          <w:color w:val="000000"/>
          <w:kern w:val="0"/>
          <w:szCs w:val="21"/>
        </w:rPr>
        <w:t>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8</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6.2.11 </w:t>
      </w:r>
      <w:r w:rsidRPr="009362ED">
        <w:rPr>
          <w:rFonts w:ascii="Verdana" w:eastAsia="宋体" w:hAnsi="Verdana" w:cs="宋体"/>
          <w:color w:val="000000"/>
          <w:kern w:val="0"/>
          <w:szCs w:val="21"/>
        </w:rPr>
        <w:t>冷却水补水使用非传统水源，</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分，根据冷却水补水使用非传统水源的量占总用水量的比例按表</w:t>
      </w:r>
      <w:r w:rsidRPr="009362ED">
        <w:rPr>
          <w:rFonts w:ascii="Verdana" w:eastAsia="宋体" w:hAnsi="Verdana" w:cs="宋体"/>
          <w:color w:val="000000"/>
          <w:kern w:val="0"/>
          <w:szCs w:val="21"/>
        </w:rPr>
        <w:t xml:space="preserve"> 5.2.6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6.2.11 </w:t>
      </w:r>
      <w:r w:rsidRPr="009362ED">
        <w:rPr>
          <w:rFonts w:ascii="Verdana" w:eastAsia="宋体" w:hAnsi="Verdana" w:cs="宋体"/>
          <w:color w:val="000000"/>
          <w:kern w:val="0"/>
          <w:szCs w:val="21"/>
        </w:rPr>
        <w:t>冷却水补水使用非传统水源的量占总用水量比例评分规则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819150"/>
            <wp:effectExtent l="0" t="0" r="0" b="0"/>
            <wp:docPr id="12" name="图片 12" descr="http://www.njlsjzw.com/file/upload/201501/29/16-09-46-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jlsjzw.com/file/upload/201501/29/16-09-46-47-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81915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6.2.12 </w:t>
      </w:r>
      <w:r w:rsidRPr="009362ED">
        <w:rPr>
          <w:rFonts w:ascii="Verdana" w:eastAsia="宋体" w:hAnsi="Verdana" w:cs="宋体"/>
          <w:color w:val="000000"/>
          <w:kern w:val="0"/>
          <w:szCs w:val="21"/>
        </w:rPr>
        <w:t>结合雨水利用设施进行景观水体设计，景观水体利用雨水的补水量大于其水体蒸发量的</w:t>
      </w:r>
      <w:r w:rsidRPr="009362ED">
        <w:rPr>
          <w:rFonts w:ascii="Verdana" w:eastAsia="宋体" w:hAnsi="Verdana" w:cs="宋体"/>
          <w:color w:val="000000"/>
          <w:kern w:val="0"/>
          <w:szCs w:val="21"/>
        </w:rPr>
        <w:t xml:space="preserve"> 60%</w:t>
      </w:r>
      <w:r w:rsidRPr="009362ED">
        <w:rPr>
          <w:rFonts w:ascii="Verdana" w:eastAsia="宋体" w:hAnsi="Verdana" w:cs="宋体"/>
          <w:color w:val="000000"/>
          <w:kern w:val="0"/>
          <w:szCs w:val="21"/>
        </w:rPr>
        <w:t>，且采用生态水处理技术保障水体水质，</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7</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对进入景观水体的雨水采取控制面源污染的措施，得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利用水生动、植物进行水体净化，得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 </w:t>
      </w:r>
      <w:r w:rsidRPr="009362ED">
        <w:rPr>
          <w:rFonts w:ascii="Verdana" w:eastAsia="宋体" w:hAnsi="Verdana" w:cs="宋体"/>
          <w:color w:val="000000"/>
          <w:kern w:val="0"/>
          <w:szCs w:val="21"/>
        </w:rPr>
        <w:t>节材与材料资源利用</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7.1 </w:t>
      </w:r>
      <w:r w:rsidRPr="009362ED">
        <w:rPr>
          <w:rFonts w:ascii="Verdana" w:eastAsia="宋体" w:hAnsi="Verdana" w:cs="宋体"/>
          <w:color w:val="000000"/>
          <w:kern w:val="0"/>
          <w:szCs w:val="21"/>
        </w:rPr>
        <w:t>控制项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7.1.1 </w:t>
      </w:r>
      <w:r w:rsidRPr="009362ED">
        <w:rPr>
          <w:rFonts w:ascii="Verdana" w:eastAsia="宋体" w:hAnsi="Verdana" w:cs="宋体"/>
          <w:color w:val="000000"/>
          <w:kern w:val="0"/>
          <w:szCs w:val="21"/>
        </w:rPr>
        <w:t>不得采用国家和地方禁止和限制使用的建筑材料及制品。</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7.1.2 </w:t>
      </w:r>
      <w:r w:rsidRPr="009362ED">
        <w:rPr>
          <w:rFonts w:ascii="Verdana" w:eastAsia="宋体" w:hAnsi="Verdana" w:cs="宋体"/>
          <w:color w:val="000000"/>
          <w:kern w:val="0"/>
          <w:szCs w:val="21"/>
        </w:rPr>
        <w:t>混凝土结构中梁、柱纵向受力普通钢筋应采用不低于</w:t>
      </w:r>
      <w:r w:rsidRPr="009362ED">
        <w:rPr>
          <w:rFonts w:ascii="Verdana" w:eastAsia="宋体" w:hAnsi="Verdana" w:cs="宋体"/>
          <w:color w:val="000000"/>
          <w:kern w:val="0"/>
          <w:szCs w:val="21"/>
        </w:rPr>
        <w:t xml:space="preserve"> 400MPa </w:t>
      </w:r>
      <w:r w:rsidRPr="009362ED">
        <w:rPr>
          <w:rFonts w:ascii="Verdana" w:eastAsia="宋体" w:hAnsi="Verdana" w:cs="宋体"/>
          <w:color w:val="000000"/>
          <w:kern w:val="0"/>
          <w:szCs w:val="21"/>
        </w:rPr>
        <w:t>级的热轧带肋钢筋。</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7.1.3 </w:t>
      </w:r>
      <w:r w:rsidRPr="009362ED">
        <w:rPr>
          <w:rFonts w:ascii="Verdana" w:eastAsia="宋体" w:hAnsi="Verdana" w:cs="宋体"/>
          <w:color w:val="000000"/>
          <w:kern w:val="0"/>
          <w:szCs w:val="21"/>
        </w:rPr>
        <w:t>建筑造型要素应简约，且无大量装饰性构件。</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 </w:t>
      </w:r>
      <w:r w:rsidRPr="009362ED">
        <w:rPr>
          <w:rFonts w:ascii="Verdana" w:eastAsia="宋体" w:hAnsi="Verdana" w:cs="宋体"/>
          <w:color w:val="000000"/>
          <w:kern w:val="0"/>
          <w:szCs w:val="21"/>
        </w:rPr>
        <w:t>评分项</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节材设计</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7.2.1 </w:t>
      </w:r>
      <w:r w:rsidRPr="009362ED">
        <w:rPr>
          <w:rFonts w:ascii="Verdana" w:eastAsia="宋体" w:hAnsi="Verdana" w:cs="宋体"/>
          <w:color w:val="000000"/>
          <w:kern w:val="0"/>
          <w:szCs w:val="21"/>
        </w:rPr>
        <w:t>择优选用建筑形体，</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分。根据国家标准《建筑抗震设计规范》</w:t>
      </w:r>
      <w:r w:rsidRPr="009362ED">
        <w:rPr>
          <w:rFonts w:ascii="Verdana" w:eastAsia="宋体" w:hAnsi="Verdana" w:cs="宋体"/>
          <w:color w:val="000000"/>
          <w:kern w:val="0"/>
          <w:szCs w:val="21"/>
        </w:rPr>
        <w:t xml:space="preserve">GB50011-2010 </w:t>
      </w:r>
      <w:r w:rsidRPr="009362ED">
        <w:rPr>
          <w:rFonts w:ascii="Verdana" w:eastAsia="宋体" w:hAnsi="Verdana" w:cs="宋体"/>
          <w:color w:val="000000"/>
          <w:kern w:val="0"/>
          <w:szCs w:val="21"/>
        </w:rPr>
        <w:t>规定的建筑形体规则性评分，建筑形体不规则，得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分；建筑形体规则，得</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7.2.2 </w:t>
      </w:r>
      <w:r w:rsidRPr="009362ED">
        <w:rPr>
          <w:rFonts w:ascii="Verdana" w:eastAsia="宋体" w:hAnsi="Verdana" w:cs="宋体"/>
          <w:color w:val="000000"/>
          <w:kern w:val="0"/>
          <w:szCs w:val="21"/>
        </w:rPr>
        <w:t>对地基基础、结构体系、结构构件进行优化设计，达到节材效果，评价分值为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7.2.3 </w:t>
      </w:r>
      <w:r w:rsidRPr="009362ED">
        <w:rPr>
          <w:rFonts w:ascii="Verdana" w:eastAsia="宋体" w:hAnsi="Verdana" w:cs="宋体"/>
          <w:color w:val="000000"/>
          <w:kern w:val="0"/>
          <w:szCs w:val="21"/>
        </w:rPr>
        <w:t>土建工程与装修工程一体化设计，</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住宅建筑土建与装修一体化设计的户数比例达到</w:t>
      </w:r>
      <w:r w:rsidRPr="009362ED">
        <w:rPr>
          <w:rFonts w:ascii="Verdana" w:eastAsia="宋体" w:hAnsi="Verdana" w:cs="宋体"/>
          <w:color w:val="000000"/>
          <w:kern w:val="0"/>
          <w:szCs w:val="21"/>
        </w:rPr>
        <w:t xml:space="preserve"> 30%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100%</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lastRenderedPageBreak/>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公共建筑公共部位土建与装修一体化设计，得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分；所有部位均土建与装修一体化设计，得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7.2.4 </w:t>
      </w:r>
      <w:r w:rsidRPr="009362ED">
        <w:rPr>
          <w:rFonts w:ascii="Verdana" w:eastAsia="宋体" w:hAnsi="Verdana" w:cs="宋体"/>
          <w:color w:val="000000"/>
          <w:kern w:val="0"/>
          <w:szCs w:val="21"/>
        </w:rPr>
        <w:t>公共建筑中可变换功能的室内空间采用可重复使用的隔断（墙），</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分，根据可重复使用隔断（墙）比例按表</w:t>
      </w:r>
      <w:r w:rsidRPr="009362ED">
        <w:rPr>
          <w:rFonts w:ascii="Verdana" w:eastAsia="宋体" w:hAnsi="Verdana" w:cs="宋体"/>
          <w:color w:val="000000"/>
          <w:kern w:val="0"/>
          <w:szCs w:val="21"/>
        </w:rPr>
        <w:t xml:space="preserve"> 7.2.4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7.2.4 </w:t>
      </w:r>
      <w:r w:rsidRPr="009362ED">
        <w:rPr>
          <w:rFonts w:ascii="Verdana" w:eastAsia="宋体" w:hAnsi="Verdana" w:cs="宋体"/>
          <w:color w:val="000000"/>
          <w:kern w:val="0"/>
          <w:szCs w:val="21"/>
        </w:rPr>
        <w:t>可重复使用隔断（墙）比例评分规则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809625"/>
            <wp:effectExtent l="0" t="0" r="0" b="9525"/>
            <wp:docPr id="11" name="图片 11" descr="http://www.njlsjzw.com/file/upload/201501/29/16-12-31-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jlsjzw.com/file/upload/201501/29/16-12-31-24-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809625"/>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7.2.5 </w:t>
      </w:r>
      <w:r w:rsidRPr="009362ED">
        <w:rPr>
          <w:rFonts w:ascii="Verdana" w:eastAsia="宋体" w:hAnsi="Verdana" w:cs="宋体"/>
          <w:color w:val="000000"/>
          <w:kern w:val="0"/>
          <w:szCs w:val="21"/>
        </w:rPr>
        <w:t>采用工业化生产的预制构件，</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分，根据预制构件用量比例按表</w:t>
      </w:r>
      <w:r w:rsidRPr="009362ED">
        <w:rPr>
          <w:rFonts w:ascii="Verdana" w:eastAsia="宋体" w:hAnsi="Verdana" w:cs="宋体"/>
          <w:color w:val="000000"/>
          <w:kern w:val="0"/>
          <w:szCs w:val="21"/>
        </w:rPr>
        <w:t xml:space="preserve"> 7.2.5 </w:t>
      </w:r>
      <w:r w:rsidRPr="009362ED">
        <w:rPr>
          <w:rFonts w:ascii="Verdana" w:eastAsia="宋体" w:hAnsi="Verdana" w:cs="宋体"/>
          <w:color w:val="000000"/>
          <w:kern w:val="0"/>
          <w:szCs w:val="21"/>
        </w:rPr>
        <w:t>的规则评分。</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7.2.5 </w:t>
      </w:r>
      <w:r w:rsidRPr="009362ED">
        <w:rPr>
          <w:rFonts w:ascii="Verdana" w:eastAsia="宋体" w:hAnsi="Verdana" w:cs="宋体"/>
          <w:color w:val="000000"/>
          <w:kern w:val="0"/>
          <w:szCs w:val="21"/>
        </w:rPr>
        <w:t>预制构件用量比例评分规则</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800100"/>
            <wp:effectExtent l="0" t="0" r="0" b="0"/>
            <wp:docPr id="10" name="图片 10" descr="http://www.njlsjzw.com/file/upload/201501/29/16-13-3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jlsjzw.com/file/upload/201501/29/16-13-32-8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8750" cy="80010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7.2.6 </w:t>
      </w:r>
      <w:r w:rsidRPr="009362ED">
        <w:rPr>
          <w:rFonts w:ascii="Verdana" w:eastAsia="宋体" w:hAnsi="Verdana" w:cs="宋体"/>
          <w:color w:val="000000"/>
          <w:kern w:val="0"/>
          <w:szCs w:val="21"/>
        </w:rPr>
        <w:t>采用整体化定型设计的厨房、卫浴间，</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采用整体化定型设计的厨房，得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采用整体化定型设计的卫浴间，得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材料选用</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7.2.7 </w:t>
      </w:r>
      <w:r w:rsidRPr="009362ED">
        <w:rPr>
          <w:rFonts w:ascii="Verdana" w:eastAsia="宋体" w:hAnsi="Verdana" w:cs="宋体"/>
          <w:color w:val="000000"/>
          <w:kern w:val="0"/>
          <w:szCs w:val="21"/>
        </w:rPr>
        <w:t>选用本地生产的建筑材料，</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分，根据施工现场</w:t>
      </w:r>
      <w:r w:rsidRPr="009362ED">
        <w:rPr>
          <w:rFonts w:ascii="Verdana" w:eastAsia="宋体" w:hAnsi="Verdana" w:cs="宋体"/>
          <w:color w:val="000000"/>
          <w:kern w:val="0"/>
          <w:szCs w:val="21"/>
        </w:rPr>
        <w:t xml:space="preserve"> 500km </w:t>
      </w:r>
      <w:r w:rsidRPr="009362ED">
        <w:rPr>
          <w:rFonts w:ascii="Verdana" w:eastAsia="宋体" w:hAnsi="Verdana" w:cs="宋体"/>
          <w:color w:val="000000"/>
          <w:kern w:val="0"/>
          <w:szCs w:val="21"/>
        </w:rPr>
        <w:t>以内生产的建筑材料重量占建筑材料总重量的比例按表</w:t>
      </w:r>
      <w:r w:rsidRPr="009362ED">
        <w:rPr>
          <w:rFonts w:ascii="Verdana" w:eastAsia="宋体" w:hAnsi="Verdana" w:cs="宋体"/>
          <w:color w:val="000000"/>
          <w:kern w:val="0"/>
          <w:szCs w:val="21"/>
        </w:rPr>
        <w:t xml:space="preserve"> 7.2.7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7.2.7 </w:t>
      </w:r>
      <w:r w:rsidRPr="009362ED">
        <w:rPr>
          <w:rFonts w:ascii="Verdana" w:eastAsia="宋体" w:hAnsi="Verdana" w:cs="宋体"/>
          <w:color w:val="000000"/>
          <w:kern w:val="0"/>
          <w:szCs w:val="21"/>
        </w:rPr>
        <w:t>施工现场</w:t>
      </w:r>
      <w:r w:rsidRPr="009362ED">
        <w:rPr>
          <w:rFonts w:ascii="Verdana" w:eastAsia="宋体" w:hAnsi="Verdana" w:cs="宋体"/>
          <w:color w:val="000000"/>
          <w:kern w:val="0"/>
          <w:szCs w:val="21"/>
        </w:rPr>
        <w:t xml:space="preserve"> 500km </w:t>
      </w:r>
      <w:r w:rsidRPr="009362ED">
        <w:rPr>
          <w:rFonts w:ascii="Verdana" w:eastAsia="宋体" w:hAnsi="Verdana" w:cs="宋体"/>
          <w:color w:val="000000"/>
          <w:kern w:val="0"/>
          <w:szCs w:val="21"/>
        </w:rPr>
        <w:t>以内生产的建筑材料重量占建筑材料总重量比例评分规则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800100"/>
            <wp:effectExtent l="0" t="0" r="0" b="0"/>
            <wp:docPr id="9" name="图片 9" descr="http://www.njlsjzw.com/file/upload/201501/29/16-15-09-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jlsjzw.com/file/upload/201501/29/16-15-09-77-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0" cy="80010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7.2.8 </w:t>
      </w:r>
      <w:r w:rsidRPr="009362ED">
        <w:rPr>
          <w:rFonts w:ascii="Verdana" w:eastAsia="宋体" w:hAnsi="Verdana" w:cs="宋体"/>
          <w:color w:val="000000"/>
          <w:kern w:val="0"/>
          <w:szCs w:val="21"/>
        </w:rPr>
        <w:t>现浇混凝土采用预拌混凝土，评价分值为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7.2.9 </w:t>
      </w:r>
      <w:r w:rsidRPr="009362ED">
        <w:rPr>
          <w:rFonts w:ascii="Verdana" w:eastAsia="宋体" w:hAnsi="Verdana" w:cs="宋体"/>
          <w:color w:val="000000"/>
          <w:kern w:val="0"/>
          <w:szCs w:val="21"/>
        </w:rPr>
        <w:t>建筑砂浆采用预拌砂浆，</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分。建筑砂浆采用预拌砂浆的比例达到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lastRenderedPageBreak/>
        <w:t>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100%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7.2.10 </w:t>
      </w:r>
      <w:r w:rsidRPr="009362ED">
        <w:rPr>
          <w:rFonts w:ascii="Verdana" w:eastAsia="宋体" w:hAnsi="Verdana" w:cs="宋体"/>
          <w:color w:val="000000"/>
          <w:kern w:val="0"/>
          <w:szCs w:val="21"/>
        </w:rPr>
        <w:t>合理采用高强建筑结构材料，</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混凝土结构：按下列规则评分：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根据</w:t>
      </w:r>
      <w:r w:rsidRPr="009362ED">
        <w:rPr>
          <w:rFonts w:ascii="Verdana" w:eastAsia="宋体" w:hAnsi="Verdana" w:cs="宋体"/>
          <w:color w:val="000000"/>
          <w:kern w:val="0"/>
          <w:szCs w:val="21"/>
        </w:rPr>
        <w:t xml:space="preserve"> 400MPa </w:t>
      </w:r>
      <w:r w:rsidRPr="009362ED">
        <w:rPr>
          <w:rFonts w:ascii="Verdana" w:eastAsia="宋体" w:hAnsi="Verdana" w:cs="宋体"/>
          <w:color w:val="000000"/>
          <w:kern w:val="0"/>
          <w:szCs w:val="21"/>
        </w:rPr>
        <w:t>级及以上受力普通钢筋的比例，按表</w:t>
      </w:r>
      <w:r w:rsidRPr="009362ED">
        <w:rPr>
          <w:rFonts w:ascii="Verdana" w:eastAsia="宋体" w:hAnsi="Verdana" w:cs="宋体"/>
          <w:color w:val="000000"/>
          <w:kern w:val="0"/>
          <w:szCs w:val="21"/>
        </w:rPr>
        <w:t xml:space="preserve"> 7.2.10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7.2.10 400MPa </w:t>
      </w:r>
      <w:r w:rsidRPr="009362ED">
        <w:rPr>
          <w:rFonts w:ascii="Verdana" w:eastAsia="宋体" w:hAnsi="Verdana" w:cs="宋体"/>
          <w:color w:val="000000"/>
          <w:kern w:val="0"/>
          <w:szCs w:val="21"/>
        </w:rPr>
        <w:t>级及以上受力普通钢筋的比例评分规则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1000125"/>
            <wp:effectExtent l="0" t="0" r="0" b="9525"/>
            <wp:docPr id="8" name="图片 8" descr="http://www.njlsjzw.com/file/upload/201501/29/16-16-3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jlsjzw.com/file/upload/201501/29/16-16-32-23-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1000125"/>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混凝土竖向承重结构采用强度等级不小于</w:t>
      </w:r>
      <w:r w:rsidRPr="009362ED">
        <w:rPr>
          <w:rFonts w:ascii="Verdana" w:eastAsia="宋体" w:hAnsi="Verdana" w:cs="宋体"/>
          <w:color w:val="000000"/>
          <w:kern w:val="0"/>
          <w:szCs w:val="21"/>
        </w:rPr>
        <w:t xml:space="preserve"> C50 </w:t>
      </w:r>
      <w:r w:rsidRPr="009362ED">
        <w:rPr>
          <w:rFonts w:ascii="Verdana" w:eastAsia="宋体" w:hAnsi="Verdana" w:cs="宋体"/>
          <w:color w:val="000000"/>
          <w:kern w:val="0"/>
          <w:szCs w:val="21"/>
        </w:rPr>
        <w:t>混凝土用量占竖向承重结构中混凝土总量的比例达到</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钢结构：</w:t>
      </w:r>
      <w:r w:rsidRPr="009362ED">
        <w:rPr>
          <w:rFonts w:ascii="Verdana" w:eastAsia="宋体" w:hAnsi="Verdana" w:cs="宋体"/>
          <w:color w:val="000000"/>
          <w:kern w:val="0"/>
          <w:szCs w:val="21"/>
        </w:rPr>
        <w:t xml:space="preserve">Q345 </w:t>
      </w:r>
      <w:r w:rsidRPr="009362ED">
        <w:rPr>
          <w:rFonts w:ascii="Verdana" w:eastAsia="宋体" w:hAnsi="Verdana" w:cs="宋体"/>
          <w:color w:val="000000"/>
          <w:kern w:val="0"/>
          <w:szCs w:val="21"/>
        </w:rPr>
        <w:t>及以上高强钢材用量占钢材总量的比例达到</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8</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70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混合结构：对其混凝土结构部分和钢结构部分，分别按本条第</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款和第</w:t>
      </w:r>
      <w:r w:rsidRPr="009362ED">
        <w:rPr>
          <w:rFonts w:ascii="Verdana" w:eastAsia="宋体" w:hAnsi="Verdana" w:cs="宋体"/>
          <w:color w:val="000000"/>
          <w:kern w:val="0"/>
          <w:szCs w:val="21"/>
        </w:rPr>
        <w:t xml:space="preserve">2 </w:t>
      </w:r>
      <w:r w:rsidRPr="009362ED">
        <w:rPr>
          <w:rFonts w:ascii="Verdana" w:eastAsia="宋体" w:hAnsi="Verdana" w:cs="宋体"/>
          <w:color w:val="000000"/>
          <w:kern w:val="0"/>
          <w:szCs w:val="21"/>
        </w:rPr>
        <w:t>款进行评价，得分取两项得分的平均值。</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7.2.11 </w:t>
      </w:r>
      <w:r w:rsidRPr="009362ED">
        <w:rPr>
          <w:rFonts w:ascii="Verdana" w:eastAsia="宋体" w:hAnsi="Verdana" w:cs="宋体"/>
          <w:color w:val="000000"/>
          <w:kern w:val="0"/>
          <w:szCs w:val="21"/>
        </w:rPr>
        <w:t>合理采用高耐久性建筑结构材料，评价分值为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分。对混凝土结构，其中高耐久性混凝土用量占混凝土总量的比例达到</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；对钢结构，采用耐候结构钢或</w:t>
      </w:r>
      <w:proofErr w:type="gramStart"/>
      <w:r w:rsidRPr="009362ED">
        <w:rPr>
          <w:rFonts w:ascii="Verdana" w:eastAsia="宋体" w:hAnsi="Verdana" w:cs="宋体"/>
          <w:color w:val="000000"/>
          <w:kern w:val="0"/>
          <w:szCs w:val="21"/>
        </w:rPr>
        <w:t>耐候型防腐涂料</w:t>
      </w:r>
      <w:proofErr w:type="gramEnd"/>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7.2.12 </w:t>
      </w:r>
      <w:r w:rsidRPr="009362ED">
        <w:rPr>
          <w:rFonts w:ascii="Verdana" w:eastAsia="宋体" w:hAnsi="Verdana" w:cs="宋体"/>
          <w:color w:val="000000"/>
          <w:kern w:val="0"/>
          <w:szCs w:val="21"/>
        </w:rPr>
        <w:t>采用可再利用材料和</w:t>
      </w:r>
      <w:proofErr w:type="gramStart"/>
      <w:r w:rsidRPr="009362ED">
        <w:rPr>
          <w:rFonts w:ascii="Verdana" w:eastAsia="宋体" w:hAnsi="Verdana" w:cs="宋体"/>
          <w:color w:val="000000"/>
          <w:kern w:val="0"/>
          <w:szCs w:val="21"/>
        </w:rPr>
        <w:t>可</w:t>
      </w:r>
      <w:proofErr w:type="gramEnd"/>
      <w:r w:rsidRPr="009362ED">
        <w:rPr>
          <w:rFonts w:ascii="Verdana" w:eastAsia="宋体" w:hAnsi="Verdana" w:cs="宋体"/>
          <w:color w:val="000000"/>
          <w:kern w:val="0"/>
          <w:szCs w:val="21"/>
        </w:rPr>
        <w:t>再循环材料，</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住宅建筑中的可再利用材料和</w:t>
      </w:r>
      <w:proofErr w:type="gramStart"/>
      <w:r w:rsidRPr="009362ED">
        <w:rPr>
          <w:rFonts w:ascii="Verdana" w:eastAsia="宋体" w:hAnsi="Verdana" w:cs="宋体"/>
          <w:color w:val="000000"/>
          <w:kern w:val="0"/>
          <w:szCs w:val="21"/>
        </w:rPr>
        <w:t>可</w:t>
      </w:r>
      <w:proofErr w:type="gramEnd"/>
      <w:r w:rsidRPr="009362ED">
        <w:rPr>
          <w:rFonts w:ascii="Verdana" w:eastAsia="宋体" w:hAnsi="Verdana" w:cs="宋体"/>
          <w:color w:val="000000"/>
          <w:kern w:val="0"/>
          <w:szCs w:val="21"/>
        </w:rPr>
        <w:t>再循环材料用量比例达到</w:t>
      </w:r>
      <w:r w:rsidRPr="009362ED">
        <w:rPr>
          <w:rFonts w:ascii="Verdana" w:eastAsia="宋体" w:hAnsi="Verdana" w:cs="宋体"/>
          <w:color w:val="000000"/>
          <w:kern w:val="0"/>
          <w:szCs w:val="21"/>
        </w:rPr>
        <w:t xml:space="preserve"> 6%</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公共建筑中的可再利用材料和</w:t>
      </w:r>
      <w:proofErr w:type="gramStart"/>
      <w:r w:rsidRPr="009362ED">
        <w:rPr>
          <w:rFonts w:ascii="Verdana" w:eastAsia="宋体" w:hAnsi="Verdana" w:cs="宋体"/>
          <w:color w:val="000000"/>
          <w:kern w:val="0"/>
          <w:szCs w:val="21"/>
        </w:rPr>
        <w:t>可</w:t>
      </w:r>
      <w:proofErr w:type="gramEnd"/>
      <w:r w:rsidRPr="009362ED">
        <w:rPr>
          <w:rFonts w:ascii="Verdana" w:eastAsia="宋体" w:hAnsi="Verdana" w:cs="宋体"/>
          <w:color w:val="000000"/>
          <w:kern w:val="0"/>
          <w:szCs w:val="21"/>
        </w:rPr>
        <w:t>再循环材料用量比例达到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7.2.13 </w:t>
      </w:r>
      <w:r w:rsidRPr="009362ED">
        <w:rPr>
          <w:rFonts w:ascii="Verdana" w:eastAsia="宋体" w:hAnsi="Verdana" w:cs="宋体"/>
          <w:color w:val="000000"/>
          <w:kern w:val="0"/>
          <w:szCs w:val="21"/>
        </w:rPr>
        <w:t>使用以废弃物为原料生产的建筑材料，</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采用一种以废弃物为原料生产的建筑材料，其占同类建材的用量比例达到</w:t>
      </w:r>
      <w:r w:rsidRPr="009362ED">
        <w:rPr>
          <w:rFonts w:ascii="Verdana" w:eastAsia="宋体" w:hAnsi="Verdana" w:cs="宋体"/>
          <w:color w:val="000000"/>
          <w:kern w:val="0"/>
          <w:szCs w:val="21"/>
        </w:rPr>
        <w:t xml:space="preserve"> 30%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采用两种及以上以废弃物为原料生产的建筑材料，每一种用量比例均达到</w:t>
      </w:r>
      <w:r w:rsidRPr="009362ED">
        <w:rPr>
          <w:rFonts w:ascii="Verdana" w:eastAsia="宋体" w:hAnsi="Verdana" w:cs="宋体"/>
          <w:color w:val="000000"/>
          <w:kern w:val="0"/>
          <w:szCs w:val="21"/>
        </w:rPr>
        <w:t xml:space="preserve"> 30%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7.2.14 </w:t>
      </w:r>
      <w:r w:rsidRPr="009362ED">
        <w:rPr>
          <w:rFonts w:ascii="Verdana" w:eastAsia="宋体" w:hAnsi="Verdana" w:cs="宋体"/>
          <w:color w:val="000000"/>
          <w:kern w:val="0"/>
          <w:szCs w:val="21"/>
        </w:rPr>
        <w:t>合理采用耐久性好、易维护的装饰装修建筑材料，</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合理采用清水混凝土，得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      2 </w:t>
      </w:r>
      <w:r w:rsidRPr="009362ED">
        <w:rPr>
          <w:rFonts w:ascii="Verdana" w:eastAsia="宋体" w:hAnsi="Verdana" w:cs="宋体"/>
          <w:color w:val="000000"/>
          <w:kern w:val="0"/>
          <w:szCs w:val="21"/>
        </w:rPr>
        <w:t>采用耐久性好、易维护的外立面材料，得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采用耐久性好、易维护的室内装饰装修材料，得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8 </w:t>
      </w:r>
      <w:r w:rsidRPr="009362ED">
        <w:rPr>
          <w:rFonts w:ascii="Verdana" w:eastAsia="宋体" w:hAnsi="Verdana" w:cs="宋体"/>
          <w:color w:val="000000"/>
          <w:kern w:val="0"/>
          <w:szCs w:val="21"/>
        </w:rPr>
        <w:t>室内环境质量</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8.1 </w:t>
      </w:r>
      <w:r w:rsidRPr="009362ED">
        <w:rPr>
          <w:rFonts w:ascii="Verdana" w:eastAsia="宋体" w:hAnsi="Verdana" w:cs="宋体"/>
          <w:color w:val="000000"/>
          <w:kern w:val="0"/>
          <w:szCs w:val="21"/>
        </w:rPr>
        <w:t>控制项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8.1.1 </w:t>
      </w:r>
      <w:r w:rsidRPr="009362ED">
        <w:rPr>
          <w:rFonts w:ascii="Verdana" w:eastAsia="宋体" w:hAnsi="Verdana" w:cs="宋体"/>
          <w:color w:val="000000"/>
          <w:kern w:val="0"/>
          <w:szCs w:val="21"/>
        </w:rPr>
        <w:t>主要功能房间的室内噪声级应满足现行国家标准《民用建筑隔声设计规范》</w:t>
      </w:r>
      <w:r w:rsidRPr="009362ED">
        <w:rPr>
          <w:rFonts w:ascii="Verdana" w:eastAsia="宋体" w:hAnsi="Verdana" w:cs="宋体"/>
          <w:color w:val="000000"/>
          <w:kern w:val="0"/>
          <w:szCs w:val="21"/>
        </w:rPr>
        <w:t xml:space="preserve">GB 50118 </w:t>
      </w:r>
      <w:r w:rsidRPr="009362ED">
        <w:rPr>
          <w:rFonts w:ascii="Verdana" w:eastAsia="宋体" w:hAnsi="Verdana" w:cs="宋体"/>
          <w:color w:val="000000"/>
          <w:kern w:val="0"/>
          <w:szCs w:val="21"/>
        </w:rPr>
        <w:t>中的低限要求。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8.1.2 </w:t>
      </w:r>
      <w:r w:rsidRPr="009362ED">
        <w:rPr>
          <w:rFonts w:ascii="Verdana" w:eastAsia="宋体" w:hAnsi="Verdana" w:cs="宋体"/>
          <w:color w:val="000000"/>
          <w:kern w:val="0"/>
          <w:szCs w:val="21"/>
        </w:rPr>
        <w:t>主要功能房间的外墙、隔墙、楼板和门窗的隔声性能应满足现行国家标准《民用建筑隔声设计规范》</w:t>
      </w:r>
      <w:r w:rsidRPr="009362ED">
        <w:rPr>
          <w:rFonts w:ascii="Verdana" w:eastAsia="宋体" w:hAnsi="Verdana" w:cs="宋体"/>
          <w:color w:val="000000"/>
          <w:kern w:val="0"/>
          <w:szCs w:val="21"/>
        </w:rPr>
        <w:t xml:space="preserve">GB 50118 </w:t>
      </w:r>
      <w:r w:rsidRPr="009362ED">
        <w:rPr>
          <w:rFonts w:ascii="Verdana" w:eastAsia="宋体" w:hAnsi="Verdana" w:cs="宋体"/>
          <w:color w:val="000000"/>
          <w:kern w:val="0"/>
          <w:szCs w:val="21"/>
        </w:rPr>
        <w:t>中的低限要求。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8.1.3 </w:t>
      </w:r>
      <w:r w:rsidRPr="009362ED">
        <w:rPr>
          <w:rFonts w:ascii="Verdana" w:eastAsia="宋体" w:hAnsi="Verdana" w:cs="宋体"/>
          <w:color w:val="000000"/>
          <w:kern w:val="0"/>
          <w:szCs w:val="21"/>
        </w:rPr>
        <w:t>建筑照明数量和质量应符合现行国家标准《建筑照明设计标准》</w:t>
      </w:r>
      <w:r w:rsidRPr="009362ED">
        <w:rPr>
          <w:rFonts w:ascii="Verdana" w:eastAsia="宋体" w:hAnsi="Verdana" w:cs="宋体"/>
          <w:color w:val="000000"/>
          <w:kern w:val="0"/>
          <w:szCs w:val="21"/>
        </w:rPr>
        <w:t>GB 50034</w:t>
      </w:r>
      <w:r w:rsidRPr="009362ED">
        <w:rPr>
          <w:rFonts w:ascii="Verdana" w:eastAsia="宋体" w:hAnsi="Verdana" w:cs="宋体"/>
          <w:color w:val="000000"/>
          <w:kern w:val="0"/>
          <w:szCs w:val="21"/>
        </w:rPr>
        <w:t>的规定。</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8.1.4 </w:t>
      </w:r>
      <w:r w:rsidRPr="009362ED">
        <w:rPr>
          <w:rFonts w:ascii="Verdana" w:eastAsia="宋体" w:hAnsi="Verdana" w:cs="宋体"/>
          <w:color w:val="000000"/>
          <w:kern w:val="0"/>
          <w:szCs w:val="21"/>
        </w:rPr>
        <w:t>采用集中供暖空调系统的建筑，房间内的温度、湿度、新风量等设计参数应符合现行国家标准《民用建筑供暖通风与空气调节设计规范》</w:t>
      </w:r>
      <w:r w:rsidRPr="009362ED">
        <w:rPr>
          <w:rFonts w:ascii="Verdana" w:eastAsia="宋体" w:hAnsi="Verdana" w:cs="宋体"/>
          <w:color w:val="000000"/>
          <w:kern w:val="0"/>
          <w:szCs w:val="21"/>
        </w:rPr>
        <w:t xml:space="preserve">GB 50736 </w:t>
      </w:r>
      <w:r w:rsidRPr="009362ED">
        <w:rPr>
          <w:rFonts w:ascii="Verdana" w:eastAsia="宋体" w:hAnsi="Verdana" w:cs="宋体"/>
          <w:color w:val="000000"/>
          <w:kern w:val="0"/>
          <w:szCs w:val="21"/>
        </w:rPr>
        <w:t>的规定。</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8.1.5 </w:t>
      </w:r>
      <w:r w:rsidRPr="009362ED">
        <w:rPr>
          <w:rFonts w:ascii="Verdana" w:eastAsia="宋体" w:hAnsi="Verdana" w:cs="宋体"/>
          <w:color w:val="000000"/>
          <w:kern w:val="0"/>
          <w:szCs w:val="21"/>
        </w:rPr>
        <w:t>在室内设计温、湿度条件下，建筑围护结构内表面不得结露。</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8.1.6 </w:t>
      </w:r>
      <w:r w:rsidRPr="009362ED">
        <w:rPr>
          <w:rFonts w:ascii="Verdana" w:eastAsia="宋体" w:hAnsi="Verdana" w:cs="宋体"/>
          <w:color w:val="000000"/>
          <w:kern w:val="0"/>
          <w:szCs w:val="21"/>
        </w:rPr>
        <w:t>屋顶和东西外墙隔热性能应满足现行国家标准《民用建筑热工设计规范》</w:t>
      </w:r>
      <w:r w:rsidRPr="009362ED">
        <w:rPr>
          <w:rFonts w:ascii="Verdana" w:eastAsia="宋体" w:hAnsi="Verdana" w:cs="宋体"/>
          <w:color w:val="000000"/>
          <w:kern w:val="0"/>
          <w:szCs w:val="21"/>
        </w:rPr>
        <w:t xml:space="preserve">GB 50176 </w:t>
      </w:r>
      <w:r w:rsidRPr="009362ED">
        <w:rPr>
          <w:rFonts w:ascii="Verdana" w:eastAsia="宋体" w:hAnsi="Verdana" w:cs="宋体"/>
          <w:color w:val="000000"/>
          <w:kern w:val="0"/>
          <w:szCs w:val="21"/>
        </w:rPr>
        <w:t>的要求。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8.1.7 </w:t>
      </w:r>
      <w:r w:rsidRPr="009362ED">
        <w:rPr>
          <w:rFonts w:ascii="Verdana" w:eastAsia="宋体" w:hAnsi="Verdana" w:cs="宋体"/>
          <w:color w:val="000000"/>
          <w:kern w:val="0"/>
          <w:szCs w:val="21"/>
        </w:rPr>
        <w:t>室内空气中的氨、甲醛、苯、总挥发性有机物、氡等污染物浓度应符合现行国家标准《室内空气质量标准》</w:t>
      </w:r>
      <w:r w:rsidRPr="009362ED">
        <w:rPr>
          <w:rFonts w:ascii="Verdana" w:eastAsia="宋体" w:hAnsi="Verdana" w:cs="宋体"/>
          <w:color w:val="000000"/>
          <w:kern w:val="0"/>
          <w:szCs w:val="21"/>
        </w:rPr>
        <w:t xml:space="preserve">GB/T 18883 </w:t>
      </w:r>
      <w:r w:rsidRPr="009362ED">
        <w:rPr>
          <w:rFonts w:ascii="Verdana" w:eastAsia="宋体" w:hAnsi="Verdana" w:cs="宋体"/>
          <w:color w:val="000000"/>
          <w:kern w:val="0"/>
          <w:szCs w:val="21"/>
        </w:rPr>
        <w:t>的有关规定。</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8.2 </w:t>
      </w:r>
      <w:r w:rsidRPr="009362ED">
        <w:rPr>
          <w:rFonts w:ascii="Verdana" w:eastAsia="宋体" w:hAnsi="Verdana" w:cs="宋体"/>
          <w:color w:val="000000"/>
          <w:kern w:val="0"/>
          <w:szCs w:val="21"/>
        </w:rPr>
        <w:t>评分项</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proofErr w:type="gramStart"/>
      <w:r w:rsidRPr="009362ED">
        <w:rPr>
          <w:rFonts w:ascii="Verdana" w:eastAsia="宋体" w:hAnsi="Verdana" w:cs="宋体"/>
          <w:color w:val="000000"/>
          <w:kern w:val="0"/>
          <w:szCs w:val="21"/>
        </w:rPr>
        <w:t>室内声</w:t>
      </w:r>
      <w:proofErr w:type="gramEnd"/>
      <w:r w:rsidRPr="009362ED">
        <w:rPr>
          <w:rFonts w:ascii="Verdana" w:eastAsia="宋体" w:hAnsi="Verdana" w:cs="宋体"/>
          <w:color w:val="000000"/>
          <w:kern w:val="0"/>
          <w:szCs w:val="21"/>
        </w:rPr>
        <w:t>环境</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xml:space="preserve">8.2.1 </w:t>
      </w:r>
      <w:r w:rsidRPr="009362ED">
        <w:rPr>
          <w:rFonts w:ascii="Verdana" w:eastAsia="宋体" w:hAnsi="Verdana" w:cs="宋体"/>
          <w:color w:val="000000"/>
          <w:kern w:val="0"/>
          <w:szCs w:val="21"/>
        </w:rPr>
        <w:t>主要功能房间室内噪声级，</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分。噪声级达到现行国家标准《民用建筑隔声设计规范》</w:t>
      </w:r>
      <w:r w:rsidRPr="009362ED">
        <w:rPr>
          <w:rFonts w:ascii="Verdana" w:eastAsia="宋体" w:hAnsi="Verdana" w:cs="宋体"/>
          <w:color w:val="000000"/>
          <w:kern w:val="0"/>
          <w:szCs w:val="21"/>
        </w:rPr>
        <w:t xml:space="preserve">GB 50118 </w:t>
      </w:r>
      <w:r w:rsidRPr="009362ED">
        <w:rPr>
          <w:rFonts w:ascii="Verdana" w:eastAsia="宋体" w:hAnsi="Verdana" w:cs="宋体"/>
          <w:color w:val="000000"/>
          <w:kern w:val="0"/>
          <w:szCs w:val="21"/>
        </w:rPr>
        <w:t>中的低限标准限值和高要求标准限值的平均值，得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分；达到高要求标准限值，得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8.2.2 </w:t>
      </w:r>
      <w:r w:rsidRPr="009362ED">
        <w:rPr>
          <w:rFonts w:ascii="Verdana" w:eastAsia="宋体" w:hAnsi="Verdana" w:cs="宋体"/>
          <w:color w:val="000000"/>
          <w:kern w:val="0"/>
          <w:szCs w:val="21"/>
        </w:rPr>
        <w:t>主要功能房间的隔声性能良好，</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9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构件及相邻房间之间的空气声隔声性能达到现行国家标准《民用建筑隔声设计规范》</w:t>
      </w:r>
      <w:r w:rsidRPr="009362ED">
        <w:rPr>
          <w:rFonts w:ascii="Verdana" w:eastAsia="宋体" w:hAnsi="Verdana" w:cs="宋体"/>
          <w:color w:val="000000"/>
          <w:kern w:val="0"/>
          <w:szCs w:val="21"/>
        </w:rPr>
        <w:t xml:space="preserve">GB 50118 </w:t>
      </w:r>
      <w:r w:rsidRPr="009362ED">
        <w:rPr>
          <w:rFonts w:ascii="Verdana" w:eastAsia="宋体" w:hAnsi="Verdana" w:cs="宋体"/>
          <w:color w:val="000000"/>
          <w:kern w:val="0"/>
          <w:szCs w:val="21"/>
        </w:rPr>
        <w:t>中的低限标准限值和高要求标准限值的平均值，得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分；达到高要求标准限值，得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楼板的撞击声隔声性能达到现行国家标准《民用建筑隔声设计规范》</w:t>
      </w:r>
      <w:r w:rsidRPr="009362ED">
        <w:rPr>
          <w:rFonts w:ascii="Verdana" w:eastAsia="宋体" w:hAnsi="Verdana" w:cs="宋体"/>
          <w:color w:val="000000"/>
          <w:kern w:val="0"/>
          <w:szCs w:val="21"/>
        </w:rPr>
        <w:t xml:space="preserve">GB 50118 </w:t>
      </w:r>
      <w:r w:rsidRPr="009362ED">
        <w:rPr>
          <w:rFonts w:ascii="Verdana" w:eastAsia="宋体" w:hAnsi="Verdana" w:cs="宋体"/>
          <w:color w:val="000000"/>
          <w:kern w:val="0"/>
          <w:szCs w:val="21"/>
        </w:rPr>
        <w:t>中的低限标准限值和高要求标准限值的平均值，得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分；达到高要求标准限值，得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8.2.3 </w:t>
      </w:r>
      <w:r w:rsidRPr="009362ED">
        <w:rPr>
          <w:rFonts w:ascii="Verdana" w:eastAsia="宋体" w:hAnsi="Verdana" w:cs="宋体"/>
          <w:color w:val="000000"/>
          <w:kern w:val="0"/>
          <w:szCs w:val="21"/>
        </w:rPr>
        <w:t>采取减少噪声干扰的措施，</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建筑平面、空间布局合理，没有明显的噪声干扰，得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采用同层排水或其他降低排水噪声的有效措施，使用率不小于</w:t>
      </w:r>
      <w:r w:rsidRPr="009362ED">
        <w:rPr>
          <w:rFonts w:ascii="Verdana" w:eastAsia="宋体" w:hAnsi="Verdana" w:cs="宋体"/>
          <w:color w:val="000000"/>
          <w:kern w:val="0"/>
          <w:szCs w:val="21"/>
        </w:rPr>
        <w:t xml:space="preserve"> 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 xml:space="preserve">8.2.4 </w:t>
      </w:r>
      <w:r w:rsidRPr="009362ED">
        <w:rPr>
          <w:rFonts w:ascii="Verdana" w:eastAsia="宋体" w:hAnsi="Verdana" w:cs="宋体"/>
          <w:color w:val="000000"/>
          <w:kern w:val="0"/>
          <w:szCs w:val="21"/>
        </w:rPr>
        <w:t>公共建筑中的多功能厅、接待大厅、大型会议室和其他有声学要求的重要房间进行专项声学设计，满足相应功能要求，评价分值为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室内光环境与视野</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xml:space="preserve">8.2.5 </w:t>
      </w:r>
      <w:r w:rsidRPr="009362ED">
        <w:rPr>
          <w:rFonts w:ascii="Verdana" w:eastAsia="宋体" w:hAnsi="Verdana" w:cs="宋体"/>
          <w:color w:val="000000"/>
          <w:kern w:val="0"/>
          <w:szCs w:val="21"/>
        </w:rPr>
        <w:t>建筑主要功能房间具有良好的户外视野，评价分值为</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分。对居住建筑，其与相邻建筑的直接间距超过</w:t>
      </w:r>
      <w:r w:rsidRPr="009362ED">
        <w:rPr>
          <w:rFonts w:ascii="Verdana" w:eastAsia="宋体" w:hAnsi="Verdana" w:cs="宋体"/>
          <w:color w:val="000000"/>
          <w:kern w:val="0"/>
          <w:szCs w:val="21"/>
        </w:rPr>
        <w:t xml:space="preserve"> 18m</w:t>
      </w:r>
      <w:r w:rsidRPr="009362ED">
        <w:rPr>
          <w:rFonts w:ascii="Verdana" w:eastAsia="宋体" w:hAnsi="Verdana" w:cs="宋体"/>
          <w:color w:val="000000"/>
          <w:kern w:val="0"/>
          <w:szCs w:val="21"/>
        </w:rPr>
        <w:t>；对公共建筑，其主要功能房间能通过外窗看到室外自然景观，无明显视线干扰。</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8.2.6 </w:t>
      </w:r>
      <w:r w:rsidRPr="009362ED">
        <w:rPr>
          <w:rFonts w:ascii="Verdana" w:eastAsia="宋体" w:hAnsi="Verdana" w:cs="宋体"/>
          <w:color w:val="000000"/>
          <w:kern w:val="0"/>
          <w:szCs w:val="21"/>
        </w:rPr>
        <w:t>主要功能房间的采光系数满足现行国家标准《建筑采光设计标准》</w:t>
      </w:r>
      <w:r w:rsidRPr="009362ED">
        <w:rPr>
          <w:rFonts w:ascii="Verdana" w:eastAsia="宋体" w:hAnsi="Verdana" w:cs="宋体"/>
          <w:color w:val="000000"/>
          <w:kern w:val="0"/>
          <w:szCs w:val="21"/>
        </w:rPr>
        <w:t xml:space="preserve">GB 50033 </w:t>
      </w:r>
      <w:r w:rsidRPr="009362ED">
        <w:rPr>
          <w:rFonts w:ascii="Verdana" w:eastAsia="宋体" w:hAnsi="Verdana" w:cs="宋体"/>
          <w:color w:val="000000"/>
          <w:kern w:val="0"/>
          <w:szCs w:val="21"/>
        </w:rPr>
        <w:t>的要求，</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居住建筑：卧室、起居室的窗地面积比达到</w:t>
      </w:r>
      <w:r w:rsidRPr="009362ED">
        <w:rPr>
          <w:rFonts w:ascii="Verdana" w:eastAsia="宋体" w:hAnsi="Verdana" w:cs="宋体"/>
          <w:color w:val="000000"/>
          <w:kern w:val="0"/>
          <w:szCs w:val="21"/>
        </w:rPr>
        <w:t xml:space="preserve"> 1/7</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1/6</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公共建筑：根据主要功能房间采光系数满足现行国家标准《建筑采光设计标准》</w:t>
      </w:r>
      <w:r w:rsidRPr="009362ED">
        <w:rPr>
          <w:rFonts w:ascii="Verdana" w:eastAsia="宋体" w:hAnsi="Verdana" w:cs="宋体"/>
          <w:color w:val="000000"/>
          <w:kern w:val="0"/>
          <w:szCs w:val="21"/>
        </w:rPr>
        <w:t xml:space="preserve">GB 50033 </w:t>
      </w:r>
      <w:r w:rsidRPr="009362ED">
        <w:rPr>
          <w:rFonts w:ascii="Verdana" w:eastAsia="宋体" w:hAnsi="Verdana" w:cs="宋体"/>
          <w:color w:val="000000"/>
          <w:kern w:val="0"/>
          <w:szCs w:val="21"/>
        </w:rPr>
        <w:t>要求的面积比例，按表</w:t>
      </w:r>
      <w:r w:rsidRPr="009362ED">
        <w:rPr>
          <w:rFonts w:ascii="Verdana" w:eastAsia="宋体" w:hAnsi="Verdana" w:cs="宋体"/>
          <w:color w:val="000000"/>
          <w:kern w:val="0"/>
          <w:szCs w:val="21"/>
        </w:rPr>
        <w:t xml:space="preserve"> 8.2.6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8.2.6 </w:t>
      </w:r>
      <w:r w:rsidRPr="009362ED">
        <w:rPr>
          <w:rFonts w:ascii="Verdana" w:eastAsia="宋体" w:hAnsi="Verdana" w:cs="宋体"/>
          <w:color w:val="000000"/>
          <w:kern w:val="0"/>
          <w:szCs w:val="21"/>
        </w:rPr>
        <w:t>公共建筑主要功能房间采光系数满足现行国家标准《建筑采光设计标准》</w:t>
      </w:r>
      <w:r w:rsidRPr="009362ED">
        <w:rPr>
          <w:rFonts w:ascii="Verdana" w:eastAsia="宋体" w:hAnsi="Verdana" w:cs="宋体"/>
          <w:color w:val="000000"/>
          <w:kern w:val="0"/>
          <w:szCs w:val="21"/>
        </w:rPr>
        <w:t>GB 50033</w:t>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要求的面积比例评分规则</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1228725"/>
            <wp:effectExtent l="0" t="0" r="0" b="9525"/>
            <wp:docPr id="7" name="图片 7" descr="http://www.njlsjzw.com/file/upload/201501/29/16-21-40-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jlsjzw.com/file/upload/201501/29/16-21-40-27-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1228725"/>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8.2.7 </w:t>
      </w:r>
      <w:r w:rsidRPr="009362ED">
        <w:rPr>
          <w:rFonts w:ascii="Verdana" w:eastAsia="宋体" w:hAnsi="Verdana" w:cs="宋体"/>
          <w:color w:val="000000"/>
          <w:kern w:val="0"/>
          <w:szCs w:val="21"/>
        </w:rPr>
        <w:t>改善建筑室内天然采光效果，</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主要功能房间有合理的控制眩光措施，得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内区采光系数满足采光要求的面积比例达到</w:t>
      </w:r>
      <w:r w:rsidRPr="009362ED">
        <w:rPr>
          <w:rFonts w:ascii="Verdana" w:eastAsia="宋体" w:hAnsi="Verdana" w:cs="宋体"/>
          <w:color w:val="000000"/>
          <w:kern w:val="0"/>
          <w:szCs w:val="21"/>
        </w:rPr>
        <w:t xml:space="preserve"> 60%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根据地</w:t>
      </w:r>
      <w:proofErr w:type="gramStart"/>
      <w:r w:rsidRPr="009362ED">
        <w:rPr>
          <w:rFonts w:ascii="Verdana" w:eastAsia="宋体" w:hAnsi="Verdana" w:cs="宋体"/>
          <w:color w:val="000000"/>
          <w:kern w:val="0"/>
          <w:szCs w:val="21"/>
        </w:rPr>
        <w:t>下空间</w:t>
      </w:r>
      <w:proofErr w:type="gramEnd"/>
      <w:r w:rsidRPr="009362ED">
        <w:rPr>
          <w:rFonts w:ascii="Verdana" w:eastAsia="宋体" w:hAnsi="Verdana" w:cs="宋体"/>
          <w:color w:val="000000"/>
          <w:kern w:val="0"/>
          <w:szCs w:val="21"/>
        </w:rPr>
        <w:t>平均采光系数不小于</w:t>
      </w:r>
      <w:r w:rsidRPr="009362ED">
        <w:rPr>
          <w:rFonts w:ascii="Verdana" w:eastAsia="宋体" w:hAnsi="Verdana" w:cs="宋体"/>
          <w:color w:val="000000"/>
          <w:kern w:val="0"/>
          <w:szCs w:val="21"/>
        </w:rPr>
        <w:t xml:space="preserve"> 0.5%</w:t>
      </w:r>
      <w:r w:rsidRPr="009362ED">
        <w:rPr>
          <w:rFonts w:ascii="Verdana" w:eastAsia="宋体" w:hAnsi="Verdana" w:cs="宋体"/>
          <w:color w:val="000000"/>
          <w:kern w:val="0"/>
          <w:szCs w:val="21"/>
        </w:rPr>
        <w:t>的面积与首层地下室面积的比例，按表</w:t>
      </w:r>
      <w:r w:rsidRPr="009362ED">
        <w:rPr>
          <w:rFonts w:ascii="Verdana" w:eastAsia="宋体" w:hAnsi="Verdana" w:cs="宋体"/>
          <w:color w:val="000000"/>
          <w:kern w:val="0"/>
          <w:szCs w:val="21"/>
        </w:rPr>
        <w:t xml:space="preserve"> 8.2.7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8.2.7 </w:t>
      </w:r>
      <w:r w:rsidRPr="009362ED">
        <w:rPr>
          <w:rFonts w:ascii="Verdana" w:eastAsia="宋体" w:hAnsi="Verdana" w:cs="宋体"/>
          <w:color w:val="000000"/>
          <w:kern w:val="0"/>
          <w:szCs w:val="21"/>
        </w:rPr>
        <w:t>地下空间平均采光系数不小于</w:t>
      </w:r>
      <w:r w:rsidRPr="009362ED">
        <w:rPr>
          <w:rFonts w:ascii="Verdana" w:eastAsia="宋体" w:hAnsi="Verdana" w:cs="宋体"/>
          <w:color w:val="000000"/>
          <w:kern w:val="0"/>
          <w:szCs w:val="21"/>
        </w:rPr>
        <w:t xml:space="preserve"> 0.5%</w:t>
      </w:r>
      <w:r w:rsidRPr="009362ED">
        <w:rPr>
          <w:rFonts w:ascii="Verdana" w:eastAsia="宋体" w:hAnsi="Verdana" w:cs="宋体"/>
          <w:color w:val="000000"/>
          <w:kern w:val="0"/>
          <w:szCs w:val="21"/>
        </w:rPr>
        <w:t>的面积与首层地下室面积的比例评分规则</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1019175"/>
            <wp:effectExtent l="0" t="0" r="0" b="9525"/>
            <wp:docPr id="6" name="图片 6" descr="http://www.njlsjzw.com/file/upload/201501/29/16-23-02-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jlsjzw.com/file/upload/201501/29/16-23-02-45-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0" cy="1019175"/>
                    </a:xfrm>
                    <a:prstGeom prst="rect">
                      <a:avLst/>
                    </a:prstGeom>
                    <a:noFill/>
                    <a:ln>
                      <a:noFill/>
                    </a:ln>
                  </pic:spPr>
                </pic:pic>
              </a:graphicData>
            </a:graphic>
          </wp:inline>
        </w:drawing>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Ⅲ</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室内热湿环境</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8.2.8 </w:t>
      </w:r>
      <w:r w:rsidRPr="009362ED">
        <w:rPr>
          <w:rFonts w:ascii="Verdana" w:eastAsia="宋体" w:hAnsi="Verdana" w:cs="宋体"/>
          <w:color w:val="000000"/>
          <w:kern w:val="0"/>
          <w:szCs w:val="21"/>
        </w:rPr>
        <w:t>采取可调节遮阳措施，降低夏季太阳辐射得热，</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12 </w:t>
      </w:r>
      <w:r w:rsidRPr="009362ED">
        <w:rPr>
          <w:rFonts w:ascii="Verdana" w:eastAsia="宋体" w:hAnsi="Verdana" w:cs="宋体"/>
          <w:color w:val="000000"/>
          <w:kern w:val="0"/>
          <w:szCs w:val="21"/>
        </w:rPr>
        <w:t>分。外窗和幕墙透明部分中，有可控遮阳调节措施的面积比例达到</w:t>
      </w:r>
      <w:r w:rsidRPr="009362ED">
        <w:rPr>
          <w:rFonts w:ascii="Verdana" w:eastAsia="宋体" w:hAnsi="Verdana" w:cs="宋体"/>
          <w:color w:val="000000"/>
          <w:kern w:val="0"/>
          <w:szCs w:val="21"/>
        </w:rPr>
        <w:t xml:space="preserve"> 25%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50%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8.2.9 </w:t>
      </w:r>
      <w:r w:rsidRPr="009362ED">
        <w:rPr>
          <w:rFonts w:ascii="Verdana" w:eastAsia="宋体" w:hAnsi="Verdana" w:cs="宋体"/>
          <w:color w:val="000000"/>
          <w:kern w:val="0"/>
          <w:szCs w:val="21"/>
        </w:rPr>
        <w:t>供暖空调系统末端现场可独立调节，</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分。供暖、空调末端装置可</w:t>
      </w:r>
      <w:proofErr w:type="gramStart"/>
      <w:r w:rsidRPr="009362ED">
        <w:rPr>
          <w:rFonts w:ascii="Verdana" w:eastAsia="宋体" w:hAnsi="Verdana" w:cs="宋体"/>
          <w:color w:val="000000"/>
          <w:kern w:val="0"/>
          <w:szCs w:val="21"/>
        </w:rPr>
        <w:t>独立启</w:t>
      </w:r>
      <w:proofErr w:type="gramEnd"/>
      <w:r w:rsidRPr="009362ED">
        <w:rPr>
          <w:rFonts w:ascii="Verdana" w:eastAsia="宋体" w:hAnsi="Verdana" w:cs="宋体"/>
          <w:color w:val="000000"/>
          <w:kern w:val="0"/>
          <w:szCs w:val="21"/>
        </w:rPr>
        <w:t>停的主要功能房间数量比例达到</w:t>
      </w:r>
      <w:r w:rsidRPr="009362ED">
        <w:rPr>
          <w:rFonts w:ascii="Verdana" w:eastAsia="宋体" w:hAnsi="Verdana" w:cs="宋体"/>
          <w:color w:val="000000"/>
          <w:kern w:val="0"/>
          <w:szCs w:val="21"/>
        </w:rPr>
        <w:t xml:space="preserve"> 70%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分；达到</w:t>
      </w:r>
      <w:r w:rsidRPr="009362ED">
        <w:rPr>
          <w:rFonts w:ascii="Verdana" w:eastAsia="宋体" w:hAnsi="Verdana" w:cs="宋体"/>
          <w:color w:val="000000"/>
          <w:kern w:val="0"/>
          <w:szCs w:val="21"/>
        </w:rPr>
        <w:t xml:space="preserve"> 90%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8</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Ⅳ</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室内空气质量</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8.2.10 </w:t>
      </w:r>
      <w:r w:rsidRPr="009362ED">
        <w:rPr>
          <w:rFonts w:ascii="Verdana" w:eastAsia="宋体" w:hAnsi="Verdana" w:cs="宋体"/>
          <w:color w:val="000000"/>
          <w:kern w:val="0"/>
          <w:szCs w:val="21"/>
        </w:rPr>
        <w:t>优化建筑空间、平面布局和构造设计，改善自然通风效果，</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13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居住建筑：按下列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项的规则分别评分并累计：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通风开口面积与房间地板面积的比例在夏热冬</w:t>
      </w:r>
      <w:proofErr w:type="gramStart"/>
      <w:r w:rsidRPr="009362ED">
        <w:rPr>
          <w:rFonts w:ascii="Verdana" w:eastAsia="宋体" w:hAnsi="Verdana" w:cs="宋体"/>
          <w:color w:val="000000"/>
          <w:kern w:val="0"/>
          <w:szCs w:val="21"/>
        </w:rPr>
        <w:t>暖地区</w:t>
      </w:r>
      <w:proofErr w:type="gramEnd"/>
      <w:r w:rsidRPr="009362ED">
        <w:rPr>
          <w:rFonts w:ascii="Verdana" w:eastAsia="宋体" w:hAnsi="Verdana" w:cs="宋体"/>
          <w:color w:val="000000"/>
          <w:kern w:val="0"/>
          <w:szCs w:val="21"/>
        </w:rPr>
        <w:t>达到</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，在夏热冬</w:t>
      </w:r>
      <w:proofErr w:type="gramStart"/>
      <w:r w:rsidRPr="009362ED">
        <w:rPr>
          <w:rFonts w:ascii="Verdana" w:eastAsia="宋体" w:hAnsi="Verdana" w:cs="宋体"/>
          <w:color w:val="000000"/>
          <w:kern w:val="0"/>
          <w:szCs w:val="21"/>
        </w:rPr>
        <w:t>冷地区</w:t>
      </w:r>
      <w:proofErr w:type="gramEnd"/>
      <w:r w:rsidRPr="009362ED">
        <w:rPr>
          <w:rFonts w:ascii="Verdana" w:eastAsia="宋体" w:hAnsi="Verdana" w:cs="宋体"/>
          <w:color w:val="000000"/>
          <w:kern w:val="0"/>
          <w:szCs w:val="21"/>
        </w:rPr>
        <w:t>达到</w:t>
      </w:r>
      <w:r w:rsidRPr="009362ED">
        <w:rPr>
          <w:rFonts w:ascii="Verdana" w:eastAsia="宋体" w:hAnsi="Verdana" w:cs="宋体"/>
          <w:color w:val="000000"/>
          <w:kern w:val="0"/>
          <w:szCs w:val="21"/>
        </w:rPr>
        <w:t xml:space="preserve"> 8%</w:t>
      </w:r>
      <w:r w:rsidRPr="009362ED">
        <w:rPr>
          <w:rFonts w:ascii="Verdana" w:eastAsia="宋体" w:hAnsi="Verdana" w:cs="宋体"/>
          <w:color w:val="000000"/>
          <w:kern w:val="0"/>
          <w:szCs w:val="21"/>
        </w:rPr>
        <w:t>，在其他地区达到</w:t>
      </w:r>
      <w:r w:rsidRPr="009362ED">
        <w:rPr>
          <w:rFonts w:ascii="Verdana" w:eastAsia="宋体" w:hAnsi="Verdana" w:cs="宋体"/>
          <w:color w:val="000000"/>
          <w:kern w:val="0"/>
          <w:szCs w:val="21"/>
        </w:rPr>
        <w:t xml:space="preserve"> 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设有明卫，得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公共建筑：根据在过渡</w:t>
      </w:r>
      <w:proofErr w:type="gramStart"/>
      <w:r w:rsidRPr="009362ED">
        <w:rPr>
          <w:rFonts w:ascii="Verdana" w:eastAsia="宋体" w:hAnsi="Verdana" w:cs="宋体"/>
          <w:color w:val="000000"/>
          <w:kern w:val="0"/>
          <w:szCs w:val="21"/>
        </w:rPr>
        <w:t>季典型</w:t>
      </w:r>
      <w:proofErr w:type="gramEnd"/>
      <w:r w:rsidRPr="009362ED">
        <w:rPr>
          <w:rFonts w:ascii="Verdana" w:eastAsia="宋体" w:hAnsi="Verdana" w:cs="宋体"/>
          <w:color w:val="000000"/>
          <w:kern w:val="0"/>
          <w:szCs w:val="21"/>
        </w:rPr>
        <w:t>工况下主要功能房间平均自然通风换气次数不小于</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次</w:t>
      </w:r>
      <w:r w:rsidRPr="009362ED">
        <w:rPr>
          <w:rFonts w:ascii="Verdana" w:eastAsia="宋体" w:hAnsi="Verdana" w:cs="宋体"/>
          <w:color w:val="000000"/>
          <w:kern w:val="0"/>
          <w:szCs w:val="21"/>
        </w:rPr>
        <w:t xml:space="preserve">/h </w:t>
      </w:r>
      <w:r w:rsidRPr="009362ED">
        <w:rPr>
          <w:rFonts w:ascii="Verdana" w:eastAsia="宋体" w:hAnsi="Verdana" w:cs="宋体"/>
          <w:color w:val="000000"/>
          <w:kern w:val="0"/>
          <w:szCs w:val="21"/>
        </w:rPr>
        <w:t>的数量比例，按表</w:t>
      </w:r>
      <w:r w:rsidRPr="009362ED">
        <w:rPr>
          <w:rFonts w:ascii="Verdana" w:eastAsia="宋体" w:hAnsi="Verdana" w:cs="宋体"/>
          <w:color w:val="000000"/>
          <w:kern w:val="0"/>
          <w:szCs w:val="21"/>
        </w:rPr>
        <w:t xml:space="preserve"> 8.2.10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13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8.2.10 </w:t>
      </w:r>
      <w:r w:rsidRPr="009362ED">
        <w:rPr>
          <w:rFonts w:ascii="Verdana" w:eastAsia="宋体" w:hAnsi="Verdana" w:cs="宋体"/>
          <w:color w:val="000000"/>
          <w:kern w:val="0"/>
          <w:szCs w:val="21"/>
        </w:rPr>
        <w:t>公共建筑过渡</w:t>
      </w:r>
      <w:proofErr w:type="gramStart"/>
      <w:r w:rsidRPr="009362ED">
        <w:rPr>
          <w:rFonts w:ascii="Verdana" w:eastAsia="宋体" w:hAnsi="Verdana" w:cs="宋体"/>
          <w:color w:val="000000"/>
          <w:kern w:val="0"/>
          <w:szCs w:val="21"/>
        </w:rPr>
        <w:t>季典型</w:t>
      </w:r>
      <w:proofErr w:type="gramEnd"/>
      <w:r w:rsidRPr="009362ED">
        <w:rPr>
          <w:rFonts w:ascii="Verdana" w:eastAsia="宋体" w:hAnsi="Verdana" w:cs="宋体"/>
          <w:color w:val="000000"/>
          <w:kern w:val="0"/>
          <w:szCs w:val="21"/>
        </w:rPr>
        <w:t>工况下主要功能房间平均自然通风换气次数不小于</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次</w:t>
      </w:r>
      <w:r w:rsidRPr="009362ED">
        <w:rPr>
          <w:rFonts w:ascii="Verdana" w:eastAsia="宋体" w:hAnsi="Verdana" w:cs="宋体"/>
          <w:color w:val="000000"/>
          <w:kern w:val="0"/>
          <w:szCs w:val="21"/>
        </w:rPr>
        <w:t>/h</w:t>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的数量比例评分规则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1809750"/>
            <wp:effectExtent l="0" t="0" r="0" b="0"/>
            <wp:docPr id="5" name="图片 5" descr="http://www.njlsjzw.com/file/upload/201501/29/16-31-03-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jlsjzw.com/file/upload/201501/29/16-31-03-24-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0" cy="1809750"/>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8.2.11 </w:t>
      </w:r>
      <w:r w:rsidRPr="009362ED">
        <w:rPr>
          <w:rFonts w:ascii="Verdana" w:eastAsia="宋体" w:hAnsi="Verdana" w:cs="宋体"/>
          <w:color w:val="000000"/>
          <w:kern w:val="0"/>
          <w:szCs w:val="21"/>
        </w:rPr>
        <w:t>气流组织合理，</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重要功能区域供暖、通风与空调工况下的气流组织满足热环境参数设计要求，得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避免卫生间、餐厅、地下车库等区域的空气和污染物串通到其他空间或室外活动场所，得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8.2.12 </w:t>
      </w:r>
      <w:r w:rsidRPr="009362ED">
        <w:rPr>
          <w:rFonts w:ascii="Verdana" w:eastAsia="宋体" w:hAnsi="Verdana" w:cs="宋体"/>
          <w:color w:val="000000"/>
          <w:kern w:val="0"/>
          <w:szCs w:val="21"/>
        </w:rPr>
        <w:t>主要功能房间中人员密度较高且随时间变化大的区域设置室内空气质量监控系统，</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对室内的二氧化碳浓度进行数据采集、分析，并与通风系统联动，得</w:t>
      </w:r>
      <w:r w:rsidRPr="009362ED">
        <w:rPr>
          <w:rFonts w:ascii="Verdana" w:eastAsia="宋体" w:hAnsi="Verdana" w:cs="宋体"/>
          <w:color w:val="000000"/>
          <w:kern w:val="0"/>
          <w:szCs w:val="21"/>
        </w:rPr>
        <w:t xml:space="preserve"> 5</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实现室内污染物浓度超标实时报警，并与通风系统联动，得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8.2.13 </w:t>
      </w:r>
      <w:r w:rsidRPr="009362ED">
        <w:rPr>
          <w:rFonts w:ascii="Verdana" w:eastAsia="宋体" w:hAnsi="Verdana" w:cs="宋体"/>
          <w:color w:val="000000"/>
          <w:kern w:val="0"/>
          <w:szCs w:val="21"/>
        </w:rPr>
        <w:t>地下车库设置与排风设备联动的一氧化碳浓度监测装置，评价分值为</w:t>
      </w:r>
      <w:r w:rsidRPr="009362ED">
        <w:rPr>
          <w:rFonts w:ascii="Verdana" w:eastAsia="宋体" w:hAnsi="Verdana" w:cs="宋体"/>
          <w:color w:val="000000"/>
          <w:kern w:val="0"/>
          <w:szCs w:val="21"/>
        </w:rPr>
        <w:t xml:space="preserve"> 5</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 </w:t>
      </w:r>
      <w:r w:rsidRPr="009362ED">
        <w:rPr>
          <w:rFonts w:ascii="Verdana" w:eastAsia="宋体" w:hAnsi="Verdana" w:cs="宋体"/>
          <w:color w:val="000000"/>
          <w:kern w:val="0"/>
          <w:szCs w:val="21"/>
        </w:rPr>
        <w:t>施工管理</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9.1 </w:t>
      </w:r>
      <w:r w:rsidRPr="009362ED">
        <w:rPr>
          <w:rFonts w:ascii="Verdana" w:eastAsia="宋体" w:hAnsi="Verdana" w:cs="宋体"/>
          <w:color w:val="000000"/>
          <w:kern w:val="0"/>
          <w:szCs w:val="21"/>
        </w:rPr>
        <w:t>控制项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 xml:space="preserve">9.1.1 </w:t>
      </w:r>
      <w:r w:rsidRPr="009362ED">
        <w:rPr>
          <w:rFonts w:ascii="Verdana" w:eastAsia="宋体" w:hAnsi="Verdana" w:cs="宋体"/>
          <w:color w:val="000000"/>
          <w:kern w:val="0"/>
          <w:szCs w:val="21"/>
        </w:rPr>
        <w:t>应建立绿色建筑项目施工管理体系和组织机构，并落实各级责任人。</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9.1.2 </w:t>
      </w:r>
      <w:r w:rsidRPr="009362ED">
        <w:rPr>
          <w:rFonts w:ascii="Verdana" w:eastAsia="宋体" w:hAnsi="Verdana" w:cs="宋体"/>
          <w:color w:val="000000"/>
          <w:kern w:val="0"/>
          <w:szCs w:val="21"/>
        </w:rPr>
        <w:t>施工项目部应制</w:t>
      </w:r>
      <w:proofErr w:type="gramStart"/>
      <w:r w:rsidRPr="009362ED">
        <w:rPr>
          <w:rFonts w:ascii="Verdana" w:eastAsia="宋体" w:hAnsi="Verdana" w:cs="宋体"/>
          <w:color w:val="000000"/>
          <w:kern w:val="0"/>
          <w:szCs w:val="21"/>
        </w:rPr>
        <w:t>定施工</w:t>
      </w:r>
      <w:proofErr w:type="gramEnd"/>
      <w:r w:rsidRPr="009362ED">
        <w:rPr>
          <w:rFonts w:ascii="Verdana" w:eastAsia="宋体" w:hAnsi="Verdana" w:cs="宋体"/>
          <w:color w:val="000000"/>
          <w:kern w:val="0"/>
          <w:szCs w:val="21"/>
        </w:rPr>
        <w:t>全过程的环境保护计划，并组织实施。</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9.1.3 </w:t>
      </w:r>
      <w:r w:rsidRPr="009362ED">
        <w:rPr>
          <w:rFonts w:ascii="Verdana" w:eastAsia="宋体" w:hAnsi="Verdana" w:cs="宋体"/>
          <w:color w:val="000000"/>
          <w:kern w:val="0"/>
          <w:szCs w:val="21"/>
        </w:rPr>
        <w:t>施工项目部应制</w:t>
      </w:r>
      <w:proofErr w:type="gramStart"/>
      <w:r w:rsidRPr="009362ED">
        <w:rPr>
          <w:rFonts w:ascii="Verdana" w:eastAsia="宋体" w:hAnsi="Verdana" w:cs="宋体"/>
          <w:color w:val="000000"/>
          <w:kern w:val="0"/>
          <w:szCs w:val="21"/>
        </w:rPr>
        <w:t>定施工</w:t>
      </w:r>
      <w:proofErr w:type="gramEnd"/>
      <w:r w:rsidRPr="009362ED">
        <w:rPr>
          <w:rFonts w:ascii="Verdana" w:eastAsia="宋体" w:hAnsi="Verdana" w:cs="宋体"/>
          <w:color w:val="000000"/>
          <w:kern w:val="0"/>
          <w:szCs w:val="21"/>
        </w:rPr>
        <w:t>人员职业健康安全管理计划，并组织实施。</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9.1.4 </w:t>
      </w:r>
      <w:r w:rsidRPr="009362ED">
        <w:rPr>
          <w:rFonts w:ascii="Verdana" w:eastAsia="宋体" w:hAnsi="Verdana" w:cs="宋体"/>
          <w:color w:val="000000"/>
          <w:kern w:val="0"/>
          <w:szCs w:val="21"/>
        </w:rPr>
        <w:t>施工前应进行设计文件中绿色建筑重点内容的专项交底。</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 </w:t>
      </w:r>
      <w:r w:rsidRPr="009362ED">
        <w:rPr>
          <w:rFonts w:ascii="Verdana" w:eastAsia="宋体" w:hAnsi="Verdana" w:cs="宋体"/>
          <w:color w:val="000000"/>
          <w:kern w:val="0"/>
          <w:szCs w:val="21"/>
        </w:rPr>
        <w:t>评分项</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环境保护</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9.2.1 </w:t>
      </w:r>
      <w:r w:rsidRPr="009362ED">
        <w:rPr>
          <w:rFonts w:ascii="Verdana" w:eastAsia="宋体" w:hAnsi="Verdana" w:cs="宋体"/>
          <w:color w:val="000000"/>
          <w:kern w:val="0"/>
          <w:szCs w:val="21"/>
        </w:rPr>
        <w:t>采取洒水、覆盖、遮挡等降尘措施，评价分值为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9.2.2 </w:t>
      </w:r>
      <w:r w:rsidRPr="009362ED">
        <w:rPr>
          <w:rFonts w:ascii="Verdana" w:eastAsia="宋体" w:hAnsi="Verdana" w:cs="宋体"/>
          <w:color w:val="000000"/>
          <w:kern w:val="0"/>
          <w:szCs w:val="21"/>
        </w:rPr>
        <w:t>采取有效的降噪措施。在施工场界测量并记录噪声，满足现行国家标准《建筑施工场界环境噪声排放标准》</w:t>
      </w:r>
      <w:r w:rsidRPr="009362ED">
        <w:rPr>
          <w:rFonts w:ascii="Verdana" w:eastAsia="宋体" w:hAnsi="Verdana" w:cs="宋体"/>
          <w:color w:val="000000"/>
          <w:kern w:val="0"/>
          <w:szCs w:val="21"/>
        </w:rPr>
        <w:t xml:space="preserve">GB 12523 </w:t>
      </w:r>
      <w:r w:rsidRPr="009362ED">
        <w:rPr>
          <w:rFonts w:ascii="Verdana" w:eastAsia="宋体" w:hAnsi="Verdana" w:cs="宋体"/>
          <w:color w:val="000000"/>
          <w:kern w:val="0"/>
          <w:szCs w:val="21"/>
        </w:rPr>
        <w:t>的规定，评价分值为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9.2.3 </w:t>
      </w:r>
      <w:r w:rsidRPr="009362ED">
        <w:rPr>
          <w:rFonts w:ascii="Verdana" w:eastAsia="宋体" w:hAnsi="Verdana" w:cs="宋体"/>
          <w:color w:val="000000"/>
          <w:kern w:val="0"/>
          <w:szCs w:val="21"/>
        </w:rPr>
        <w:t>制定并实施施工废弃物减量化、资源化计划，</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制定施工废弃物减量化、资源化计划，得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可回收施工废弃物的回收率不小于</w:t>
      </w:r>
      <w:r w:rsidRPr="009362ED">
        <w:rPr>
          <w:rFonts w:ascii="Verdana" w:eastAsia="宋体" w:hAnsi="Verdana" w:cs="宋体"/>
          <w:color w:val="000000"/>
          <w:kern w:val="0"/>
          <w:szCs w:val="21"/>
        </w:rPr>
        <w:t xml:space="preserve"> 80%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根据每</w:t>
      </w:r>
      <w:r w:rsidRPr="009362ED">
        <w:rPr>
          <w:rFonts w:ascii="Verdana" w:eastAsia="宋体" w:hAnsi="Verdana" w:cs="宋体"/>
          <w:color w:val="000000"/>
          <w:kern w:val="0"/>
          <w:szCs w:val="21"/>
        </w:rPr>
        <w:t xml:space="preserve"> 10000m2 </w:t>
      </w:r>
      <w:r w:rsidRPr="009362ED">
        <w:rPr>
          <w:rFonts w:ascii="Verdana" w:eastAsia="宋体" w:hAnsi="Verdana" w:cs="宋体"/>
          <w:color w:val="000000"/>
          <w:kern w:val="0"/>
          <w:szCs w:val="21"/>
        </w:rPr>
        <w:t>建筑面积的施工固体废弃物排放量，按表</w:t>
      </w:r>
      <w:r w:rsidRPr="009362ED">
        <w:rPr>
          <w:rFonts w:ascii="Verdana" w:eastAsia="宋体" w:hAnsi="Verdana" w:cs="宋体"/>
          <w:color w:val="000000"/>
          <w:kern w:val="0"/>
          <w:szCs w:val="21"/>
        </w:rPr>
        <w:t xml:space="preserve"> 9.2.3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9.2.3 </w:t>
      </w:r>
      <w:r w:rsidRPr="009362ED">
        <w:rPr>
          <w:rFonts w:ascii="Verdana" w:eastAsia="宋体" w:hAnsi="Verdana" w:cs="宋体"/>
          <w:color w:val="000000"/>
          <w:kern w:val="0"/>
          <w:szCs w:val="21"/>
        </w:rPr>
        <w:t>每</w:t>
      </w:r>
      <w:r w:rsidRPr="009362ED">
        <w:rPr>
          <w:rFonts w:ascii="Verdana" w:eastAsia="宋体" w:hAnsi="Verdana" w:cs="宋体"/>
          <w:color w:val="000000"/>
          <w:kern w:val="0"/>
          <w:szCs w:val="21"/>
        </w:rPr>
        <w:t xml:space="preserve"> 10000m2 </w:t>
      </w:r>
      <w:r w:rsidRPr="009362ED">
        <w:rPr>
          <w:rFonts w:ascii="Verdana" w:eastAsia="宋体" w:hAnsi="Verdana" w:cs="宋体"/>
          <w:color w:val="000000"/>
          <w:kern w:val="0"/>
          <w:szCs w:val="21"/>
        </w:rPr>
        <w:t>建筑面积施工固体废弃物排放量评分规则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828675"/>
            <wp:effectExtent l="0" t="0" r="0" b="9525"/>
            <wp:docPr id="4" name="图片 4" descr="http://www.njlsjzw.com/file/upload/201501/29/16-38-04-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jlsjzw.com/file/upload/201501/29/16-38-04-93-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750" cy="828675"/>
                    </a:xfrm>
                    <a:prstGeom prst="rect">
                      <a:avLst/>
                    </a:prstGeom>
                    <a:noFill/>
                    <a:ln>
                      <a:noFill/>
                    </a:ln>
                  </pic:spPr>
                </pic:pic>
              </a:graphicData>
            </a:graphic>
          </wp:inline>
        </w:drawing>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资源节约</w:t>
      </w:r>
    </w:p>
    <w:p w:rsidR="009362ED" w:rsidRPr="009362ED" w:rsidRDefault="009362ED" w:rsidP="009362ED">
      <w:pPr>
        <w:widowControl/>
        <w:shd w:val="clear" w:color="auto" w:fill="FFFFFF"/>
        <w:spacing w:after="240"/>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9.2.4 </w:t>
      </w:r>
      <w:r w:rsidRPr="009362ED">
        <w:rPr>
          <w:rFonts w:ascii="Verdana" w:eastAsia="宋体" w:hAnsi="Verdana" w:cs="宋体"/>
          <w:color w:val="000000"/>
          <w:kern w:val="0"/>
          <w:szCs w:val="21"/>
        </w:rPr>
        <w:t>制定并实施施工节能和用能方案，监测并记录施工能耗，</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制定并实施施工节能和用能方案，得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监测并记录施工区、生活区的能耗，得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监测并记录主要建筑材料、设备从供货商提供的货源地到施工现场运输的能耗，得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监测并记录建筑施工废弃物从施工现场到废弃物处理</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回收中心运输的能耗，得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9.2.5 </w:t>
      </w:r>
      <w:r w:rsidRPr="009362ED">
        <w:rPr>
          <w:rFonts w:ascii="Verdana" w:eastAsia="宋体" w:hAnsi="Verdana" w:cs="宋体"/>
          <w:color w:val="000000"/>
          <w:kern w:val="0"/>
          <w:szCs w:val="21"/>
        </w:rPr>
        <w:t>制定并实施施工节水和用水方案，监测并记录施工水耗，</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w:t>
      </w:r>
      <w:r w:rsidRPr="009362ED">
        <w:rPr>
          <w:rFonts w:ascii="Verdana" w:eastAsia="宋体" w:hAnsi="Verdana" w:cs="宋体"/>
          <w:color w:val="000000"/>
          <w:kern w:val="0"/>
          <w:szCs w:val="21"/>
        </w:rPr>
        <w:t>分，并按</w:t>
      </w:r>
      <w:r w:rsidRPr="009362ED">
        <w:rPr>
          <w:rFonts w:ascii="Verdana" w:eastAsia="宋体" w:hAnsi="Verdana" w:cs="宋体"/>
          <w:color w:val="000000"/>
          <w:kern w:val="0"/>
          <w:szCs w:val="21"/>
        </w:rPr>
        <w:lastRenderedPageBreak/>
        <w:t>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制定并实施施工节水和用水方案，得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监测并记录施工区、生活区的水耗数据，得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监测并记录基坑降水的抽取量、排放量和利用量数据，得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9.2.6 </w:t>
      </w:r>
      <w:r w:rsidRPr="009362ED">
        <w:rPr>
          <w:rFonts w:ascii="Verdana" w:eastAsia="宋体" w:hAnsi="Verdana" w:cs="宋体"/>
          <w:color w:val="000000"/>
          <w:kern w:val="0"/>
          <w:szCs w:val="21"/>
        </w:rPr>
        <w:t>减少预拌混凝土的损耗，</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分。损耗率降低至</w:t>
      </w:r>
      <w:r w:rsidRPr="009362ED">
        <w:rPr>
          <w:rFonts w:ascii="Verdana" w:eastAsia="宋体" w:hAnsi="Verdana" w:cs="宋体"/>
          <w:color w:val="000000"/>
          <w:kern w:val="0"/>
          <w:szCs w:val="21"/>
        </w:rPr>
        <w:t xml:space="preserve"> 1.5%</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3</w:t>
      </w:r>
      <w:r w:rsidRPr="009362ED">
        <w:rPr>
          <w:rFonts w:ascii="Verdana" w:eastAsia="宋体" w:hAnsi="Verdana" w:cs="宋体"/>
          <w:color w:val="000000"/>
          <w:kern w:val="0"/>
          <w:szCs w:val="21"/>
        </w:rPr>
        <w:t>分；降低至</w:t>
      </w:r>
      <w:r w:rsidRPr="009362ED">
        <w:rPr>
          <w:rFonts w:ascii="Verdana" w:eastAsia="宋体" w:hAnsi="Verdana" w:cs="宋体"/>
          <w:color w:val="000000"/>
          <w:kern w:val="0"/>
          <w:szCs w:val="21"/>
        </w:rPr>
        <w:t xml:space="preserve"> 1.0%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9.2.7 </w:t>
      </w:r>
      <w:r w:rsidRPr="009362ED">
        <w:rPr>
          <w:rFonts w:ascii="Verdana" w:eastAsia="宋体" w:hAnsi="Verdana" w:cs="宋体"/>
          <w:color w:val="000000"/>
          <w:kern w:val="0"/>
          <w:szCs w:val="21"/>
        </w:rPr>
        <w:t>采取措施降低钢筋损耗，</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分，并按下列规则评分：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1 80%</w:t>
      </w:r>
      <w:r w:rsidRPr="009362ED">
        <w:rPr>
          <w:rFonts w:ascii="Verdana" w:eastAsia="宋体" w:hAnsi="Verdana" w:cs="宋体"/>
          <w:color w:val="000000"/>
          <w:kern w:val="0"/>
          <w:szCs w:val="21"/>
        </w:rPr>
        <w:t>以上的钢筋采用专业化生产的成型钢筋，得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根据现场加工钢筋损耗率，按表</w:t>
      </w:r>
      <w:r w:rsidRPr="009362ED">
        <w:rPr>
          <w:rFonts w:ascii="Verdana" w:eastAsia="宋体" w:hAnsi="Verdana" w:cs="宋体"/>
          <w:color w:val="000000"/>
          <w:kern w:val="0"/>
          <w:szCs w:val="21"/>
        </w:rPr>
        <w:t xml:space="preserve"> 9.2.7 </w:t>
      </w:r>
      <w:r w:rsidRPr="009362ED">
        <w:rPr>
          <w:rFonts w:ascii="Verdana" w:eastAsia="宋体" w:hAnsi="Verdana" w:cs="宋体"/>
          <w:color w:val="000000"/>
          <w:kern w:val="0"/>
          <w:szCs w:val="21"/>
        </w:rPr>
        <w:t>的规则评分，最高得</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9.2.7 </w:t>
      </w:r>
      <w:r w:rsidRPr="009362ED">
        <w:rPr>
          <w:rFonts w:ascii="Verdana" w:eastAsia="宋体" w:hAnsi="Verdana" w:cs="宋体"/>
          <w:color w:val="000000"/>
          <w:kern w:val="0"/>
          <w:szCs w:val="21"/>
        </w:rPr>
        <w:t>现场加工钢筋损耗率评分规则</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Pr>
          <w:rFonts w:ascii="Verdana" w:eastAsia="宋体" w:hAnsi="Verdana" w:cs="宋体"/>
          <w:noProof/>
          <w:color w:val="1D1D1B"/>
          <w:kern w:val="0"/>
          <w:szCs w:val="21"/>
        </w:rPr>
        <w:drawing>
          <wp:inline distT="0" distB="0" distL="0" distR="0">
            <wp:extent cx="5238750" cy="790575"/>
            <wp:effectExtent l="0" t="0" r="0" b="9525"/>
            <wp:docPr id="3" name="图片 3" descr="http://www.njlsjzw.com/file/upload/201501/29/16-41-5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jlsjzw.com/file/upload/201501/29/16-41-51-20-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0" cy="790575"/>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9.2.8 </w:t>
      </w:r>
      <w:r w:rsidRPr="009362ED">
        <w:rPr>
          <w:rFonts w:ascii="Verdana" w:eastAsia="宋体" w:hAnsi="Verdana" w:cs="宋体"/>
          <w:color w:val="000000"/>
          <w:kern w:val="0"/>
          <w:szCs w:val="21"/>
        </w:rPr>
        <w:t>使用工具式定型模板，增加模板周转次数，</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分，根据工具式定型模板使用面积占模板工程总面积的比例按表</w:t>
      </w:r>
      <w:r w:rsidRPr="009362ED">
        <w:rPr>
          <w:rFonts w:ascii="Verdana" w:eastAsia="宋体" w:hAnsi="Verdana" w:cs="宋体"/>
          <w:color w:val="000000"/>
          <w:kern w:val="0"/>
          <w:szCs w:val="21"/>
        </w:rPr>
        <w:t xml:space="preserve"> 9.2.8 </w:t>
      </w:r>
      <w:r w:rsidRPr="009362ED">
        <w:rPr>
          <w:rFonts w:ascii="Verdana" w:eastAsia="宋体" w:hAnsi="Verdana" w:cs="宋体"/>
          <w:color w:val="000000"/>
          <w:kern w:val="0"/>
          <w:szCs w:val="21"/>
        </w:rPr>
        <w:t>的规则评分。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9.2.8 </w:t>
      </w:r>
      <w:r w:rsidRPr="009362ED">
        <w:rPr>
          <w:rFonts w:ascii="Verdana" w:eastAsia="宋体" w:hAnsi="Verdana" w:cs="宋体"/>
          <w:color w:val="000000"/>
          <w:kern w:val="0"/>
          <w:szCs w:val="21"/>
        </w:rPr>
        <w:t>工具式定型模板使用面积占模板工程总面积比例评分规则</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38750" cy="819150"/>
            <wp:effectExtent l="0" t="0" r="0" b="0"/>
            <wp:docPr id="2" name="图片 2" descr="http://www.njlsjzw.com/file/upload/201501/29/16-42-50-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jlsjzw.com/file/upload/201501/29/16-42-50-32-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8750" cy="819150"/>
                    </a:xfrm>
                    <a:prstGeom prst="rect">
                      <a:avLst/>
                    </a:prstGeom>
                    <a:noFill/>
                    <a:ln>
                      <a:noFill/>
                    </a:ln>
                  </pic:spPr>
                </pic:pic>
              </a:graphicData>
            </a:graphic>
          </wp:inline>
        </w:drawing>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宋体" w:eastAsia="宋体" w:hAnsi="宋体" w:cs="宋体" w:hint="eastAsia"/>
          <w:color w:val="000000"/>
          <w:kern w:val="0"/>
          <w:szCs w:val="21"/>
        </w:rPr>
        <w:t>Ⅲ</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过程管理</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9.2.9 </w:t>
      </w:r>
      <w:r w:rsidRPr="009362ED">
        <w:rPr>
          <w:rFonts w:ascii="Verdana" w:eastAsia="宋体" w:hAnsi="Verdana" w:cs="宋体"/>
          <w:color w:val="000000"/>
          <w:kern w:val="0"/>
          <w:szCs w:val="21"/>
        </w:rPr>
        <w:t>实施设计文件中绿色建筑重点内容，</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参建各方进行绿色建筑重点内容的专项会审，得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施工过程中以施工日志记录绿色建筑重点内容的实施情况，得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9.2.10 </w:t>
      </w:r>
      <w:r w:rsidRPr="009362ED">
        <w:rPr>
          <w:rFonts w:ascii="Verdana" w:eastAsia="宋体" w:hAnsi="Verdana" w:cs="宋体"/>
          <w:color w:val="000000"/>
          <w:kern w:val="0"/>
          <w:szCs w:val="21"/>
        </w:rPr>
        <w:t>严格控制设计文件变更，避免出现降低建筑绿色性能的重大变更，评分分值为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9.2.11 </w:t>
      </w:r>
      <w:r w:rsidRPr="009362ED">
        <w:rPr>
          <w:rFonts w:ascii="Verdana" w:eastAsia="宋体" w:hAnsi="Verdana" w:cs="宋体"/>
          <w:color w:val="000000"/>
          <w:kern w:val="0"/>
          <w:szCs w:val="21"/>
        </w:rPr>
        <w:t>施工过程中采取相关措施保证建筑的耐久性，</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对保证建筑结构耐久性的技术措施进行相应检测并记录，得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对有节能、环保要求的设备进行相应检测并记录，得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对有节能、环保要求的装修装饰材料进行相应检测并记录，得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9.2.12 </w:t>
      </w:r>
      <w:r w:rsidRPr="009362ED">
        <w:rPr>
          <w:rFonts w:ascii="Verdana" w:eastAsia="宋体" w:hAnsi="Verdana" w:cs="宋体"/>
          <w:color w:val="000000"/>
          <w:kern w:val="0"/>
          <w:szCs w:val="21"/>
        </w:rPr>
        <w:t>实现土建装修一体化施工，</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工程竣工时主要功能空间的使用功能完备，装修到位，得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提供装修材料检测报告、机电设备检测报告、性能复试报告，得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提供建筑竣工验收证明、建筑质量保修书、使用说明书，得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提供业主反馈意见书，得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9.2.13 </w:t>
      </w:r>
      <w:r w:rsidRPr="009362ED">
        <w:rPr>
          <w:rFonts w:ascii="Verdana" w:eastAsia="宋体" w:hAnsi="Verdana" w:cs="宋体"/>
          <w:color w:val="000000"/>
          <w:kern w:val="0"/>
          <w:szCs w:val="21"/>
        </w:rPr>
        <w:t>工程竣工验收前，由建设单位组织有关责任单位，进行机电系统的综合调试和联合试运转，结果符合设计要求，评价分值为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10 </w:t>
      </w:r>
      <w:r w:rsidRPr="009362ED">
        <w:rPr>
          <w:rFonts w:ascii="Verdana" w:eastAsia="宋体" w:hAnsi="Verdana" w:cs="宋体"/>
          <w:color w:val="000000"/>
          <w:kern w:val="0"/>
          <w:szCs w:val="21"/>
        </w:rPr>
        <w:t>运营管理</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10.1 </w:t>
      </w:r>
      <w:r w:rsidRPr="009362ED">
        <w:rPr>
          <w:rFonts w:ascii="Verdana" w:eastAsia="宋体" w:hAnsi="Verdana" w:cs="宋体"/>
          <w:color w:val="000000"/>
          <w:kern w:val="0"/>
          <w:szCs w:val="21"/>
        </w:rPr>
        <w:t>控制项</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10.1.1 </w:t>
      </w:r>
      <w:r w:rsidRPr="009362ED">
        <w:rPr>
          <w:rFonts w:ascii="Verdana" w:eastAsia="宋体" w:hAnsi="Verdana" w:cs="宋体"/>
          <w:color w:val="000000"/>
          <w:kern w:val="0"/>
          <w:szCs w:val="21"/>
        </w:rPr>
        <w:t>应制定并实施节能、节水、节材、绿化管理制度。</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10.1.2 </w:t>
      </w:r>
      <w:r w:rsidRPr="009362ED">
        <w:rPr>
          <w:rFonts w:ascii="Verdana" w:eastAsia="宋体" w:hAnsi="Verdana" w:cs="宋体"/>
          <w:color w:val="000000"/>
          <w:kern w:val="0"/>
          <w:szCs w:val="21"/>
        </w:rPr>
        <w:t>应制定垃圾管理制度，合理规划垃圾物流，对生活废弃物进行分类收集，垃圾容器设置规范。</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10.1.3 </w:t>
      </w:r>
      <w:r w:rsidRPr="009362ED">
        <w:rPr>
          <w:rFonts w:ascii="Verdana" w:eastAsia="宋体" w:hAnsi="Verdana" w:cs="宋体"/>
          <w:color w:val="000000"/>
          <w:kern w:val="0"/>
          <w:szCs w:val="21"/>
        </w:rPr>
        <w:t>运行过程中产生的废气、污水等污染物应达标排放。</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10.1.4 </w:t>
      </w:r>
      <w:r w:rsidRPr="009362ED">
        <w:rPr>
          <w:rFonts w:ascii="Verdana" w:eastAsia="宋体" w:hAnsi="Verdana" w:cs="宋体"/>
          <w:color w:val="000000"/>
          <w:kern w:val="0"/>
          <w:szCs w:val="21"/>
        </w:rPr>
        <w:t>节能、节水设施应工作正常，且符合设计要求。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10.1.5 </w:t>
      </w:r>
      <w:r w:rsidRPr="009362ED">
        <w:rPr>
          <w:rFonts w:ascii="Verdana" w:eastAsia="宋体" w:hAnsi="Verdana" w:cs="宋体"/>
          <w:color w:val="000000"/>
          <w:kern w:val="0"/>
          <w:szCs w:val="21"/>
        </w:rPr>
        <w:t>供暖、通风、空调、照明等设备的自动监控系统应工作正常，且运行记录完整。</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10.2 </w:t>
      </w:r>
      <w:r w:rsidRPr="009362ED">
        <w:rPr>
          <w:rFonts w:ascii="Verdana" w:eastAsia="宋体" w:hAnsi="Verdana" w:cs="宋体"/>
          <w:color w:val="000000"/>
          <w:kern w:val="0"/>
          <w:szCs w:val="21"/>
        </w:rPr>
        <w:t>评分项</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Ⅰ</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管理制度</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000000"/>
          <w:kern w:val="0"/>
          <w:szCs w:val="21"/>
        </w:rPr>
        <w:t xml:space="preserve">10.2.1 </w:t>
      </w:r>
      <w:r w:rsidRPr="009362ED">
        <w:rPr>
          <w:rFonts w:ascii="Verdana" w:eastAsia="宋体" w:hAnsi="Verdana" w:cs="宋体"/>
          <w:color w:val="000000"/>
          <w:kern w:val="0"/>
          <w:szCs w:val="21"/>
        </w:rPr>
        <w:t>物业管理部门获得有关管理体系认证，</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具有</w:t>
      </w:r>
      <w:r w:rsidRPr="009362ED">
        <w:rPr>
          <w:rFonts w:ascii="Verdana" w:eastAsia="宋体" w:hAnsi="Verdana" w:cs="宋体"/>
          <w:color w:val="000000"/>
          <w:kern w:val="0"/>
          <w:szCs w:val="21"/>
        </w:rPr>
        <w:t xml:space="preserve"> ISO 14001 </w:t>
      </w:r>
      <w:r w:rsidRPr="009362ED">
        <w:rPr>
          <w:rFonts w:ascii="Verdana" w:eastAsia="宋体" w:hAnsi="Verdana" w:cs="宋体"/>
          <w:color w:val="000000"/>
          <w:kern w:val="0"/>
          <w:szCs w:val="21"/>
        </w:rPr>
        <w:t>环境管理体系认证，得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具有</w:t>
      </w:r>
      <w:r w:rsidRPr="009362ED">
        <w:rPr>
          <w:rFonts w:ascii="Verdana" w:eastAsia="宋体" w:hAnsi="Verdana" w:cs="宋体"/>
          <w:color w:val="000000"/>
          <w:kern w:val="0"/>
          <w:szCs w:val="21"/>
        </w:rPr>
        <w:t xml:space="preserve"> ISO 9001 </w:t>
      </w:r>
      <w:r w:rsidRPr="009362ED">
        <w:rPr>
          <w:rFonts w:ascii="Verdana" w:eastAsia="宋体" w:hAnsi="Verdana" w:cs="宋体"/>
          <w:color w:val="000000"/>
          <w:kern w:val="0"/>
          <w:szCs w:val="21"/>
        </w:rPr>
        <w:t>质量管理体系认证，得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具有现行国家标准《能源管理体系要求》</w:t>
      </w:r>
      <w:r w:rsidRPr="009362ED">
        <w:rPr>
          <w:rFonts w:ascii="Verdana" w:eastAsia="宋体" w:hAnsi="Verdana" w:cs="宋体"/>
          <w:color w:val="000000"/>
          <w:kern w:val="0"/>
          <w:szCs w:val="21"/>
        </w:rPr>
        <w:t xml:space="preserve">GB/T 23331 </w:t>
      </w:r>
      <w:r w:rsidRPr="009362ED">
        <w:rPr>
          <w:rFonts w:ascii="Verdana" w:eastAsia="宋体" w:hAnsi="Verdana" w:cs="宋体"/>
          <w:color w:val="000000"/>
          <w:kern w:val="0"/>
          <w:szCs w:val="21"/>
        </w:rPr>
        <w:t>的能源管理体系认证，得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10.2.2 </w:t>
      </w:r>
      <w:r w:rsidRPr="009362ED">
        <w:rPr>
          <w:rFonts w:ascii="Verdana" w:eastAsia="宋体" w:hAnsi="Verdana" w:cs="宋体"/>
          <w:color w:val="000000"/>
          <w:kern w:val="0"/>
          <w:szCs w:val="21"/>
        </w:rPr>
        <w:t>节能、节水、节材、绿化的操作规程、应急预案等完善，且有效实施，</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8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相关设施的操作规程在现场明示，操作人员严格遵守规定，得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节能、节水设施运行具有完善的应急预案，得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10.2.3 </w:t>
      </w:r>
      <w:r w:rsidRPr="009362ED">
        <w:rPr>
          <w:rFonts w:ascii="Verdana" w:eastAsia="宋体" w:hAnsi="Verdana" w:cs="宋体"/>
          <w:color w:val="000000"/>
          <w:kern w:val="0"/>
          <w:szCs w:val="21"/>
        </w:rPr>
        <w:t>实施能源资源管理激励机制，管理业绩与节约能源资源、提高经济效益挂钩，</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物业管理机构的工作考核体系中包含能源资源管理激励机制，得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与租用者的合同中包含节能条款，得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采用合同能源管理模式，得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 xml:space="preserve">10.2.4 </w:t>
      </w:r>
      <w:r w:rsidRPr="009362ED">
        <w:rPr>
          <w:rFonts w:ascii="Verdana" w:eastAsia="宋体" w:hAnsi="Verdana" w:cs="宋体"/>
          <w:color w:val="000000"/>
          <w:kern w:val="0"/>
          <w:szCs w:val="21"/>
        </w:rPr>
        <w:t>建立绿色教育宣传机制，编制绿色设施使用手册，形成良好的绿色氛围，</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有绿色教育宣传工作记录，得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向使用者提供绿色设施使用手册，得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相关绿色行为与成效获得公共媒体报道，得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Ⅱ</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技术管理</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10.2.5 </w:t>
      </w:r>
      <w:r w:rsidRPr="009362ED">
        <w:rPr>
          <w:rFonts w:ascii="Verdana" w:eastAsia="宋体" w:hAnsi="Verdana" w:cs="宋体"/>
          <w:color w:val="000000"/>
          <w:kern w:val="0"/>
          <w:szCs w:val="21"/>
        </w:rPr>
        <w:t>定期检查、调试公共设施设备，并根据运行检测数据进行设备系统的运行优化，</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具有设施设备的检查、调试、运行、标定记录，且记录完整，得</w:t>
      </w:r>
      <w:r w:rsidRPr="009362ED">
        <w:rPr>
          <w:rFonts w:ascii="Verdana" w:eastAsia="宋体" w:hAnsi="Verdana" w:cs="宋体"/>
          <w:color w:val="000000"/>
          <w:kern w:val="0"/>
          <w:szCs w:val="21"/>
        </w:rPr>
        <w:t xml:space="preserve"> 7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制定并实施设备能效改进等方案，得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10.2.6 </w:t>
      </w:r>
      <w:r w:rsidRPr="009362ED">
        <w:rPr>
          <w:rFonts w:ascii="Verdana" w:eastAsia="宋体" w:hAnsi="Verdana" w:cs="宋体"/>
          <w:color w:val="000000"/>
          <w:kern w:val="0"/>
          <w:szCs w:val="21"/>
        </w:rPr>
        <w:t>对空调通风系统进行定期检查和清洗，</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制定空调通风设备和风管的检查和清洗计划，得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实施第</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款中的检查和清洗计划，且记录保存完整，得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10.2.7 </w:t>
      </w:r>
      <w:r w:rsidRPr="009362ED">
        <w:rPr>
          <w:rFonts w:ascii="Verdana" w:eastAsia="宋体" w:hAnsi="Verdana" w:cs="宋体"/>
          <w:color w:val="000000"/>
          <w:kern w:val="0"/>
          <w:szCs w:val="21"/>
        </w:rPr>
        <w:t>非传统水源的水质和用水量记录完整、准确，</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定期进行水质检测，记录完整、准确，得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用水量记录完整、准确，得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10.2.8 </w:t>
      </w:r>
      <w:r w:rsidRPr="009362ED">
        <w:rPr>
          <w:rFonts w:ascii="Verdana" w:eastAsia="宋体" w:hAnsi="Verdana" w:cs="宋体"/>
          <w:color w:val="000000"/>
          <w:kern w:val="0"/>
          <w:szCs w:val="21"/>
        </w:rPr>
        <w:t>智能化系统的运行效果满足建筑运行与管理的需要，</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12</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居住建筑的智能化系统满足</w:t>
      </w:r>
      <w:proofErr w:type="gramStart"/>
      <w:r w:rsidRPr="009362ED">
        <w:rPr>
          <w:rFonts w:ascii="Verdana" w:eastAsia="宋体" w:hAnsi="Verdana" w:cs="宋体"/>
          <w:color w:val="000000"/>
          <w:kern w:val="0"/>
          <w:szCs w:val="21"/>
        </w:rPr>
        <w:t>现行行业</w:t>
      </w:r>
      <w:proofErr w:type="gramEnd"/>
      <w:r w:rsidRPr="009362ED">
        <w:rPr>
          <w:rFonts w:ascii="Verdana" w:eastAsia="宋体" w:hAnsi="Verdana" w:cs="宋体"/>
          <w:color w:val="000000"/>
          <w:kern w:val="0"/>
          <w:szCs w:val="21"/>
        </w:rPr>
        <w:t>标准《居住区智能化系统配置与技术要求》</w:t>
      </w:r>
      <w:r w:rsidRPr="009362ED">
        <w:rPr>
          <w:rFonts w:ascii="Verdana" w:eastAsia="宋体" w:hAnsi="Verdana" w:cs="宋体"/>
          <w:color w:val="000000"/>
          <w:kern w:val="0"/>
          <w:szCs w:val="21"/>
        </w:rPr>
        <w:t xml:space="preserve">CJ/T 174 </w:t>
      </w:r>
      <w:r w:rsidRPr="009362ED">
        <w:rPr>
          <w:rFonts w:ascii="Verdana" w:eastAsia="宋体" w:hAnsi="Verdana" w:cs="宋体"/>
          <w:color w:val="000000"/>
          <w:kern w:val="0"/>
          <w:szCs w:val="21"/>
        </w:rPr>
        <w:t>的基本配置要求，公共建筑的智能化系统满足现行国家标准《智能建筑设计标准》</w:t>
      </w:r>
      <w:r w:rsidRPr="009362ED">
        <w:rPr>
          <w:rFonts w:ascii="Verdana" w:eastAsia="宋体" w:hAnsi="Verdana" w:cs="宋体"/>
          <w:color w:val="000000"/>
          <w:kern w:val="0"/>
          <w:szCs w:val="21"/>
        </w:rPr>
        <w:t xml:space="preserve">GB 50314 </w:t>
      </w:r>
      <w:r w:rsidRPr="009362ED">
        <w:rPr>
          <w:rFonts w:ascii="Verdana" w:eastAsia="宋体" w:hAnsi="Verdana" w:cs="宋体"/>
          <w:color w:val="000000"/>
          <w:kern w:val="0"/>
          <w:szCs w:val="21"/>
        </w:rPr>
        <w:t>的基础配置要求，得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智能化系统工作正常，符合设计要求，得</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10.2.9 </w:t>
      </w:r>
      <w:r w:rsidRPr="009362ED">
        <w:rPr>
          <w:rFonts w:ascii="Verdana" w:eastAsia="宋体" w:hAnsi="Verdana" w:cs="宋体"/>
          <w:color w:val="000000"/>
          <w:kern w:val="0"/>
          <w:szCs w:val="21"/>
        </w:rPr>
        <w:t>应用信息化手段进行物业管理，建筑工程、设施、设备、部品、能耗等档案及记录齐全，</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设置物业信息管理系统，得</w:t>
      </w:r>
      <w:r w:rsidRPr="009362ED">
        <w:rPr>
          <w:rFonts w:ascii="Verdana" w:eastAsia="宋体" w:hAnsi="Verdana" w:cs="宋体"/>
          <w:color w:val="000000"/>
          <w:kern w:val="0"/>
          <w:szCs w:val="21"/>
        </w:rPr>
        <w:t xml:space="preserve"> 5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物业管理信息系统功能完备，得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记录数据完整，得</w:t>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宋体" w:eastAsia="宋体" w:hAnsi="宋体" w:cs="宋体" w:hint="eastAsia"/>
          <w:color w:val="000000"/>
          <w:kern w:val="0"/>
          <w:szCs w:val="21"/>
        </w:rPr>
        <w:t>Ⅲ</w:t>
      </w:r>
      <w:r w:rsidRPr="009362ED">
        <w:rPr>
          <w:rFonts w:ascii="Verdana" w:eastAsia="宋体" w:hAnsi="Verdana" w:cs="宋体"/>
          <w:color w:val="000000"/>
          <w:kern w:val="0"/>
          <w:szCs w:val="21"/>
        </w:rPr>
        <w:t xml:space="preserve"> </w:t>
      </w:r>
      <w:r w:rsidRPr="009362ED">
        <w:rPr>
          <w:rFonts w:ascii="Verdana" w:eastAsia="宋体" w:hAnsi="Verdana" w:cs="宋体"/>
          <w:color w:val="000000"/>
          <w:kern w:val="0"/>
          <w:szCs w:val="21"/>
        </w:rPr>
        <w:t>环境管理</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10.2.10 </w:t>
      </w:r>
      <w:r w:rsidRPr="009362ED">
        <w:rPr>
          <w:rFonts w:ascii="Verdana" w:eastAsia="宋体" w:hAnsi="Verdana" w:cs="宋体"/>
          <w:color w:val="000000"/>
          <w:kern w:val="0"/>
          <w:szCs w:val="21"/>
        </w:rPr>
        <w:t>采用无公害病虫害防治技术，规范杀虫剂、除草剂、化肥、农药等化学药品的使用，有效避免对土壤和地下水环境的损害，</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建立和实施化学药品管理责任制，得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病虫害防治用品使用记录完整，得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lastRenderedPageBreak/>
        <w:t xml:space="preserve">      3 </w:t>
      </w:r>
      <w:r w:rsidRPr="009362ED">
        <w:rPr>
          <w:rFonts w:ascii="Verdana" w:eastAsia="宋体" w:hAnsi="Verdana" w:cs="宋体"/>
          <w:color w:val="000000"/>
          <w:kern w:val="0"/>
          <w:szCs w:val="21"/>
        </w:rPr>
        <w:t>采用生物制剂、仿生制剂等无公害防治技术，得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10.2.11 </w:t>
      </w:r>
      <w:r w:rsidRPr="009362ED">
        <w:rPr>
          <w:rFonts w:ascii="Verdana" w:eastAsia="宋体" w:hAnsi="Verdana" w:cs="宋体"/>
          <w:color w:val="000000"/>
          <w:kern w:val="0"/>
          <w:szCs w:val="21"/>
        </w:rPr>
        <w:t>栽种和移植的树木一次成活率大于</w:t>
      </w:r>
      <w:r w:rsidRPr="009362ED">
        <w:rPr>
          <w:rFonts w:ascii="Verdana" w:eastAsia="宋体" w:hAnsi="Verdana" w:cs="宋体"/>
          <w:color w:val="000000"/>
          <w:kern w:val="0"/>
          <w:szCs w:val="21"/>
        </w:rPr>
        <w:t xml:space="preserve"> 90</w:t>
      </w:r>
      <w:r w:rsidRPr="009362ED">
        <w:rPr>
          <w:rFonts w:ascii="Verdana" w:eastAsia="宋体" w:hAnsi="Verdana" w:cs="宋体"/>
          <w:color w:val="000000"/>
          <w:kern w:val="0"/>
          <w:szCs w:val="21"/>
        </w:rPr>
        <w:t>％，植物生长状态良好，</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工作记录完整，得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现场观感良好，得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10.2.12 </w:t>
      </w:r>
      <w:r w:rsidRPr="009362ED">
        <w:rPr>
          <w:rFonts w:ascii="Verdana" w:eastAsia="宋体" w:hAnsi="Verdana" w:cs="宋体"/>
          <w:color w:val="000000"/>
          <w:kern w:val="0"/>
          <w:szCs w:val="21"/>
        </w:rPr>
        <w:t>垃圾收集站</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点</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及垃圾间不污染环境，不散发臭味，</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6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垃圾站</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间</w:t>
      </w:r>
      <w:r w:rsidRPr="009362ED">
        <w:rPr>
          <w:rFonts w:ascii="Verdana" w:eastAsia="宋体" w:hAnsi="Verdana" w:cs="宋体"/>
          <w:color w:val="000000"/>
          <w:kern w:val="0"/>
          <w:szCs w:val="21"/>
        </w:rPr>
        <w:t>)</w:t>
      </w:r>
      <w:r w:rsidRPr="009362ED">
        <w:rPr>
          <w:rFonts w:ascii="Verdana" w:eastAsia="宋体" w:hAnsi="Verdana" w:cs="宋体"/>
          <w:color w:val="000000"/>
          <w:kern w:val="0"/>
          <w:szCs w:val="21"/>
        </w:rPr>
        <w:t>定期冲洗，得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垃圾及时清运、处置，得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周边无臭味，用户反映良好，得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10.2.13 </w:t>
      </w:r>
      <w:r w:rsidRPr="009362ED">
        <w:rPr>
          <w:rFonts w:ascii="Verdana" w:eastAsia="宋体" w:hAnsi="Verdana" w:cs="宋体"/>
          <w:color w:val="000000"/>
          <w:kern w:val="0"/>
          <w:szCs w:val="21"/>
        </w:rPr>
        <w:t>实行垃圾分类收集和处理，</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分，并按下列规则分别评分并累计：</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垃圾分类收集率达到</w:t>
      </w:r>
      <w:r w:rsidRPr="009362ED">
        <w:rPr>
          <w:rFonts w:ascii="Verdana" w:eastAsia="宋体" w:hAnsi="Verdana" w:cs="宋体"/>
          <w:color w:val="000000"/>
          <w:kern w:val="0"/>
          <w:szCs w:val="21"/>
        </w:rPr>
        <w:t xml:space="preserve"> 90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可回收垃圾的回收比例达到</w:t>
      </w:r>
      <w:r w:rsidRPr="009362ED">
        <w:rPr>
          <w:rFonts w:ascii="Verdana" w:eastAsia="宋体" w:hAnsi="Verdana" w:cs="宋体"/>
          <w:color w:val="000000"/>
          <w:kern w:val="0"/>
          <w:szCs w:val="21"/>
        </w:rPr>
        <w:t xml:space="preserve"> 90%</w:t>
      </w:r>
      <w:r w:rsidRPr="009362ED">
        <w:rPr>
          <w:rFonts w:ascii="Verdana" w:eastAsia="宋体" w:hAnsi="Verdana" w:cs="宋体"/>
          <w:color w:val="000000"/>
          <w:kern w:val="0"/>
          <w:szCs w:val="21"/>
        </w:rPr>
        <w:t>，得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3 </w:t>
      </w:r>
      <w:r w:rsidRPr="009362ED">
        <w:rPr>
          <w:rFonts w:ascii="Verdana" w:eastAsia="宋体" w:hAnsi="Verdana" w:cs="宋体"/>
          <w:color w:val="000000"/>
          <w:kern w:val="0"/>
          <w:szCs w:val="21"/>
        </w:rPr>
        <w:t>对可生物降解垃圾进行单独收集和合理处置，得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      4 </w:t>
      </w:r>
      <w:r w:rsidRPr="009362ED">
        <w:rPr>
          <w:rFonts w:ascii="Verdana" w:eastAsia="宋体" w:hAnsi="Verdana" w:cs="宋体"/>
          <w:color w:val="000000"/>
          <w:kern w:val="0"/>
          <w:szCs w:val="21"/>
        </w:rPr>
        <w:t>对有害垃圾进行单独收集和合理处置，得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11 </w:t>
      </w:r>
      <w:r w:rsidRPr="009362ED">
        <w:rPr>
          <w:rFonts w:ascii="Verdana" w:eastAsia="宋体" w:hAnsi="Verdana" w:cs="宋体"/>
          <w:color w:val="000000"/>
          <w:kern w:val="0"/>
          <w:szCs w:val="21"/>
        </w:rPr>
        <w:t>提高与创新</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11.1 </w:t>
      </w:r>
      <w:r w:rsidRPr="009362ED">
        <w:rPr>
          <w:rFonts w:ascii="Verdana" w:eastAsia="宋体" w:hAnsi="Verdana" w:cs="宋体"/>
          <w:color w:val="000000"/>
          <w:kern w:val="0"/>
          <w:szCs w:val="21"/>
        </w:rPr>
        <w:t>一般规定</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11.1.1 </w:t>
      </w:r>
      <w:r w:rsidRPr="009362ED">
        <w:rPr>
          <w:rFonts w:ascii="Verdana" w:eastAsia="宋体" w:hAnsi="Verdana" w:cs="宋体"/>
          <w:color w:val="000000"/>
          <w:kern w:val="0"/>
          <w:szCs w:val="21"/>
        </w:rPr>
        <w:t>绿色建筑评价时，应按本章规定对加分项进行评价。加分项包括性能提高和创新两部分。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11.1.2 </w:t>
      </w:r>
      <w:r w:rsidRPr="009362ED">
        <w:rPr>
          <w:rFonts w:ascii="Verdana" w:eastAsia="宋体" w:hAnsi="Verdana" w:cs="宋体"/>
          <w:color w:val="000000"/>
          <w:kern w:val="0"/>
          <w:szCs w:val="21"/>
        </w:rPr>
        <w:t>加分项的附加得分为各加分项得分之</w:t>
      </w:r>
      <w:proofErr w:type="gramStart"/>
      <w:r w:rsidRPr="009362ED">
        <w:rPr>
          <w:rFonts w:ascii="Verdana" w:eastAsia="宋体" w:hAnsi="Verdana" w:cs="宋体"/>
          <w:color w:val="000000"/>
          <w:kern w:val="0"/>
          <w:szCs w:val="21"/>
        </w:rPr>
        <w:t>和</w:t>
      </w:r>
      <w:proofErr w:type="gramEnd"/>
      <w:r w:rsidRPr="009362ED">
        <w:rPr>
          <w:rFonts w:ascii="Verdana" w:eastAsia="宋体" w:hAnsi="Verdana" w:cs="宋体"/>
          <w:color w:val="000000"/>
          <w:kern w:val="0"/>
          <w:szCs w:val="21"/>
        </w:rPr>
        <w:t>。当附加得分大于</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分时，应取为</w:t>
      </w:r>
      <w:r w:rsidRPr="009362ED">
        <w:rPr>
          <w:rFonts w:ascii="Verdana" w:eastAsia="宋体" w:hAnsi="Verdana" w:cs="宋体"/>
          <w:color w:val="000000"/>
          <w:kern w:val="0"/>
          <w:szCs w:val="21"/>
        </w:rPr>
        <w:t xml:space="preserve"> 10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11.2 </w:t>
      </w:r>
      <w:r w:rsidRPr="009362ED">
        <w:rPr>
          <w:rFonts w:ascii="Verdana" w:eastAsia="宋体" w:hAnsi="Verdana" w:cs="宋体"/>
          <w:color w:val="000000"/>
          <w:kern w:val="0"/>
          <w:szCs w:val="21"/>
        </w:rPr>
        <w:t>加分项</w:t>
      </w:r>
      <w:r w:rsidRPr="009362ED">
        <w:rPr>
          <w:rFonts w:ascii="Verdana" w:eastAsia="宋体" w:hAnsi="Verdana" w:cs="宋体"/>
          <w:color w:val="000000"/>
          <w:kern w:val="0"/>
          <w:szCs w:val="21"/>
        </w:rPr>
        <w:t> </w:t>
      </w:r>
      <w:r w:rsidRPr="009362ED">
        <w:rPr>
          <w:rFonts w:ascii="Verdana" w:eastAsia="宋体" w:hAnsi="Verdana" w:cs="宋体"/>
          <w:b/>
          <w:bCs/>
          <w:color w:val="1D1D1B"/>
          <w:kern w:val="0"/>
          <w:szCs w:val="21"/>
        </w:rPr>
        <w:br/>
      </w: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I </w:t>
      </w:r>
      <w:r w:rsidRPr="009362ED">
        <w:rPr>
          <w:rFonts w:ascii="Verdana" w:eastAsia="宋体" w:hAnsi="Verdana" w:cs="宋体"/>
          <w:color w:val="000000"/>
          <w:kern w:val="0"/>
          <w:szCs w:val="21"/>
        </w:rPr>
        <w:t>性能提高</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11.2.1 </w:t>
      </w:r>
      <w:r w:rsidRPr="009362ED">
        <w:rPr>
          <w:rFonts w:ascii="Verdana" w:eastAsia="宋体" w:hAnsi="Verdana" w:cs="宋体"/>
          <w:color w:val="000000"/>
          <w:kern w:val="0"/>
          <w:szCs w:val="21"/>
        </w:rPr>
        <w:t>围护结构热工性能比国家现行有关建筑节能设计标准的规定高</w:t>
      </w:r>
      <w:r w:rsidRPr="009362ED">
        <w:rPr>
          <w:rFonts w:ascii="Verdana" w:eastAsia="宋体" w:hAnsi="Verdana" w:cs="宋体"/>
          <w:color w:val="000000"/>
          <w:kern w:val="0"/>
          <w:szCs w:val="21"/>
        </w:rPr>
        <w:t xml:space="preserve"> 20%</w:t>
      </w:r>
      <w:r w:rsidRPr="009362ED">
        <w:rPr>
          <w:rFonts w:ascii="Verdana" w:eastAsia="宋体" w:hAnsi="Verdana" w:cs="宋体"/>
          <w:color w:val="000000"/>
          <w:kern w:val="0"/>
          <w:szCs w:val="21"/>
        </w:rPr>
        <w:t>，或者供暖空调全年计算负荷降低幅度达到</w:t>
      </w:r>
      <w:r w:rsidRPr="009362ED">
        <w:rPr>
          <w:rFonts w:ascii="Verdana" w:eastAsia="宋体" w:hAnsi="Verdana" w:cs="宋体"/>
          <w:color w:val="000000"/>
          <w:kern w:val="0"/>
          <w:szCs w:val="21"/>
        </w:rPr>
        <w:t xml:space="preserve"> 15%</w:t>
      </w:r>
      <w:r w:rsidRPr="009362ED">
        <w:rPr>
          <w:rFonts w:ascii="Verdana" w:eastAsia="宋体" w:hAnsi="Verdana" w:cs="宋体"/>
          <w:color w:val="000000"/>
          <w:kern w:val="0"/>
          <w:szCs w:val="21"/>
        </w:rPr>
        <w:t>，评价分值为</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11.2.2 </w:t>
      </w:r>
      <w:r w:rsidRPr="009362ED">
        <w:rPr>
          <w:rFonts w:ascii="Verdana" w:eastAsia="宋体" w:hAnsi="Verdana" w:cs="宋体"/>
          <w:color w:val="000000"/>
          <w:kern w:val="0"/>
          <w:szCs w:val="21"/>
        </w:rPr>
        <w:t>供暖空调系统的冷、热源机组</w:t>
      </w:r>
      <w:proofErr w:type="gramStart"/>
      <w:r w:rsidRPr="009362ED">
        <w:rPr>
          <w:rFonts w:ascii="Verdana" w:eastAsia="宋体" w:hAnsi="Verdana" w:cs="宋体"/>
          <w:color w:val="000000"/>
          <w:kern w:val="0"/>
          <w:szCs w:val="21"/>
        </w:rPr>
        <w:t>能效均</w:t>
      </w:r>
      <w:proofErr w:type="gramEnd"/>
      <w:r w:rsidRPr="009362ED">
        <w:rPr>
          <w:rFonts w:ascii="Verdana" w:eastAsia="宋体" w:hAnsi="Verdana" w:cs="宋体"/>
          <w:color w:val="000000"/>
          <w:kern w:val="0"/>
          <w:szCs w:val="21"/>
        </w:rPr>
        <w:t>优于现行国家标准《公共建筑节能设计标准》</w:t>
      </w:r>
      <w:r w:rsidRPr="009362ED">
        <w:rPr>
          <w:rFonts w:ascii="Verdana" w:eastAsia="宋体" w:hAnsi="Verdana" w:cs="宋体"/>
          <w:color w:val="000000"/>
          <w:kern w:val="0"/>
          <w:szCs w:val="21"/>
        </w:rPr>
        <w:t xml:space="preserve">GB 50189 </w:t>
      </w:r>
      <w:r w:rsidRPr="009362ED">
        <w:rPr>
          <w:rFonts w:ascii="Verdana" w:eastAsia="宋体" w:hAnsi="Verdana" w:cs="宋体"/>
          <w:color w:val="000000"/>
          <w:kern w:val="0"/>
          <w:szCs w:val="21"/>
        </w:rPr>
        <w:t>的规定以及现行有关国家标准能效节能评价值的要求，评价分值为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分。对电机驱动的</w:t>
      </w:r>
      <w:proofErr w:type="gramStart"/>
      <w:r w:rsidRPr="009362ED">
        <w:rPr>
          <w:rFonts w:ascii="Verdana" w:eastAsia="宋体" w:hAnsi="Verdana" w:cs="宋体"/>
          <w:color w:val="000000"/>
          <w:kern w:val="0"/>
          <w:szCs w:val="21"/>
        </w:rPr>
        <w:t>蒸气</w:t>
      </w:r>
      <w:proofErr w:type="gramEnd"/>
      <w:r w:rsidRPr="009362ED">
        <w:rPr>
          <w:rFonts w:ascii="Verdana" w:eastAsia="宋体" w:hAnsi="Verdana" w:cs="宋体"/>
          <w:color w:val="000000"/>
          <w:kern w:val="0"/>
          <w:szCs w:val="21"/>
        </w:rPr>
        <w:t>压缩循环冷水（热泵）机组，直燃型和蒸汽型溴化</w:t>
      </w:r>
      <w:proofErr w:type="gramStart"/>
      <w:r w:rsidRPr="009362ED">
        <w:rPr>
          <w:rFonts w:ascii="Verdana" w:eastAsia="宋体" w:hAnsi="Verdana" w:cs="宋体"/>
          <w:color w:val="000000"/>
          <w:kern w:val="0"/>
          <w:szCs w:val="21"/>
        </w:rPr>
        <w:t>锂</w:t>
      </w:r>
      <w:proofErr w:type="gramEnd"/>
      <w:r w:rsidRPr="009362ED">
        <w:rPr>
          <w:rFonts w:ascii="Verdana" w:eastAsia="宋体" w:hAnsi="Verdana" w:cs="宋体"/>
          <w:color w:val="000000"/>
          <w:kern w:val="0"/>
          <w:szCs w:val="21"/>
        </w:rPr>
        <w:t>吸收式冷（温）水机组，单元式空气调节机、风管送风式和屋顶式空调机组，多联式空调（热泵）机组，燃煤、燃油和燃气锅炉，其能效指标比现行国家</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标准《公共建筑节能设计标准》</w:t>
      </w:r>
      <w:r w:rsidRPr="009362ED">
        <w:rPr>
          <w:rFonts w:ascii="Verdana" w:eastAsia="宋体" w:hAnsi="Verdana" w:cs="宋体"/>
          <w:color w:val="000000"/>
          <w:kern w:val="0"/>
          <w:szCs w:val="21"/>
        </w:rPr>
        <w:t xml:space="preserve">GB 50189 </w:t>
      </w:r>
      <w:r w:rsidRPr="009362ED">
        <w:rPr>
          <w:rFonts w:ascii="Verdana" w:eastAsia="宋体" w:hAnsi="Verdana" w:cs="宋体"/>
          <w:color w:val="000000"/>
          <w:kern w:val="0"/>
          <w:szCs w:val="21"/>
        </w:rPr>
        <w:t>规定值的提高或降低幅度满足表</w:t>
      </w:r>
      <w:r w:rsidRPr="009362ED">
        <w:rPr>
          <w:rFonts w:ascii="Verdana" w:eastAsia="宋体" w:hAnsi="Verdana" w:cs="宋体"/>
          <w:color w:val="000000"/>
          <w:kern w:val="0"/>
          <w:szCs w:val="21"/>
        </w:rPr>
        <w:t xml:space="preserve"> 11.2.2</w:t>
      </w:r>
      <w:r w:rsidRPr="009362ED">
        <w:rPr>
          <w:rFonts w:ascii="Verdana" w:eastAsia="宋体" w:hAnsi="Verdana" w:cs="宋体"/>
          <w:color w:val="000000"/>
          <w:kern w:val="0"/>
          <w:szCs w:val="21"/>
        </w:rPr>
        <w:t>的要求；对房间空气调节器和家用燃气热水炉，其能效等级满足现行有关国家标准规定的</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级要求。</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lastRenderedPageBreak/>
        <w:br/>
      </w:r>
      <w:r w:rsidRPr="009362ED">
        <w:rPr>
          <w:rFonts w:ascii="Verdana" w:eastAsia="宋体" w:hAnsi="Verdana" w:cs="宋体"/>
          <w:color w:val="000000"/>
          <w:kern w:val="0"/>
          <w:szCs w:val="21"/>
        </w:rPr>
        <w:t>表</w:t>
      </w:r>
      <w:r w:rsidRPr="009362ED">
        <w:rPr>
          <w:rFonts w:ascii="Verdana" w:eastAsia="宋体" w:hAnsi="Verdana" w:cs="宋体"/>
          <w:color w:val="000000"/>
          <w:kern w:val="0"/>
          <w:szCs w:val="21"/>
        </w:rPr>
        <w:t xml:space="preserve"> 11.2.2 </w:t>
      </w:r>
      <w:r w:rsidRPr="009362ED">
        <w:rPr>
          <w:rFonts w:ascii="Verdana" w:eastAsia="宋体" w:hAnsi="Verdana" w:cs="宋体"/>
          <w:color w:val="000000"/>
          <w:kern w:val="0"/>
          <w:szCs w:val="21"/>
        </w:rPr>
        <w:t>冷、热源机组能效指标比现行国家标准《公共建筑节能设计标准》</w:t>
      </w:r>
      <w:r w:rsidRPr="009362ED">
        <w:rPr>
          <w:rFonts w:ascii="Verdana" w:eastAsia="宋体" w:hAnsi="Verdana" w:cs="宋体"/>
          <w:color w:val="000000"/>
          <w:kern w:val="0"/>
          <w:szCs w:val="21"/>
        </w:rPr>
        <w:t>GB 50189 </w:t>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的提高或降低幅度</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Pr>
          <w:rFonts w:ascii="Verdana" w:eastAsia="宋体" w:hAnsi="Verdana" w:cs="宋体"/>
          <w:noProof/>
          <w:color w:val="1D1D1B"/>
          <w:kern w:val="0"/>
          <w:szCs w:val="21"/>
        </w:rPr>
        <w:drawing>
          <wp:inline distT="0" distB="0" distL="0" distR="0">
            <wp:extent cx="5219700" cy="2047875"/>
            <wp:effectExtent l="0" t="0" r="0" b="9525"/>
            <wp:docPr id="1" name="图片 1" descr="http://www.njlsjzw.com/file/upload/201501/29/16-50-23-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jlsjzw.com/file/upload/201501/29/16-50-23-93-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2047875"/>
                    </a:xfrm>
                    <a:prstGeom prst="rect">
                      <a:avLst/>
                    </a:prstGeom>
                    <a:noFill/>
                    <a:ln>
                      <a:noFill/>
                    </a:ln>
                  </pic:spPr>
                </pic:pic>
              </a:graphicData>
            </a:graphic>
          </wp:inline>
        </w:drawing>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11.2.3 </w:t>
      </w:r>
      <w:r w:rsidRPr="009362ED">
        <w:rPr>
          <w:rFonts w:ascii="Verdana" w:eastAsia="宋体" w:hAnsi="Verdana" w:cs="宋体"/>
          <w:color w:val="000000"/>
          <w:kern w:val="0"/>
          <w:szCs w:val="21"/>
        </w:rPr>
        <w:t>采用分布式热电冷联供技术，系统全年能源综合利用率不低于</w:t>
      </w:r>
      <w:r w:rsidRPr="009362ED">
        <w:rPr>
          <w:rFonts w:ascii="Verdana" w:eastAsia="宋体" w:hAnsi="Verdana" w:cs="宋体"/>
          <w:color w:val="000000"/>
          <w:kern w:val="0"/>
          <w:szCs w:val="21"/>
        </w:rPr>
        <w:t xml:space="preserve"> 70%</w:t>
      </w:r>
      <w:r w:rsidRPr="009362ED">
        <w:rPr>
          <w:rFonts w:ascii="Verdana" w:eastAsia="宋体" w:hAnsi="Verdana" w:cs="宋体"/>
          <w:color w:val="000000"/>
          <w:kern w:val="0"/>
          <w:szCs w:val="21"/>
        </w:rPr>
        <w:t>，评价分值为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11.2.4 </w:t>
      </w:r>
      <w:r w:rsidRPr="009362ED">
        <w:rPr>
          <w:rFonts w:ascii="Verdana" w:eastAsia="宋体" w:hAnsi="Verdana" w:cs="宋体"/>
          <w:color w:val="000000"/>
          <w:kern w:val="0"/>
          <w:szCs w:val="21"/>
        </w:rPr>
        <w:t>卫生器具的用水效率均为国家现行有关卫生器具用水等级标准规定的</w:t>
      </w:r>
      <w:r w:rsidRPr="009362ED">
        <w:rPr>
          <w:rFonts w:ascii="Verdana" w:eastAsia="宋体" w:hAnsi="Verdana" w:cs="宋体"/>
          <w:color w:val="000000"/>
          <w:kern w:val="0"/>
          <w:szCs w:val="21"/>
        </w:rPr>
        <w:t xml:space="preserve"> 1</w:t>
      </w:r>
      <w:r w:rsidRPr="009362ED">
        <w:rPr>
          <w:rFonts w:ascii="Verdana" w:eastAsia="宋体" w:hAnsi="Verdana" w:cs="宋体"/>
          <w:color w:val="000000"/>
          <w:kern w:val="0"/>
          <w:szCs w:val="21"/>
        </w:rPr>
        <w:t>级，评价分值为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11.2.5 </w:t>
      </w:r>
      <w:r w:rsidRPr="009362ED">
        <w:rPr>
          <w:rFonts w:ascii="Verdana" w:eastAsia="宋体" w:hAnsi="Verdana" w:cs="宋体"/>
          <w:color w:val="000000"/>
          <w:kern w:val="0"/>
          <w:szCs w:val="21"/>
        </w:rPr>
        <w:t>采用资源消耗少和环境影响小的建筑结构体系，评价分值为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11.2.6 </w:t>
      </w:r>
      <w:r w:rsidRPr="009362ED">
        <w:rPr>
          <w:rFonts w:ascii="Verdana" w:eastAsia="宋体" w:hAnsi="Verdana" w:cs="宋体"/>
          <w:color w:val="000000"/>
          <w:kern w:val="0"/>
          <w:szCs w:val="21"/>
        </w:rPr>
        <w:t>对主要功能房间采取有效的空气处理措施，评价分值为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11.2.7 </w:t>
      </w:r>
      <w:r w:rsidRPr="009362ED">
        <w:rPr>
          <w:rFonts w:ascii="Verdana" w:eastAsia="宋体" w:hAnsi="Verdana" w:cs="宋体"/>
          <w:color w:val="000000"/>
          <w:kern w:val="0"/>
          <w:szCs w:val="21"/>
        </w:rPr>
        <w:t>室内空气中的氨、甲醛、苯、总挥发性有机物、氡、可吸入颗粒物等污染物浓度不高于现行国家标准《室内空气质量标准》</w:t>
      </w:r>
      <w:r w:rsidRPr="009362ED">
        <w:rPr>
          <w:rFonts w:ascii="Verdana" w:eastAsia="宋体" w:hAnsi="Verdana" w:cs="宋体"/>
          <w:color w:val="000000"/>
          <w:kern w:val="0"/>
          <w:szCs w:val="21"/>
        </w:rPr>
        <w:t>GB/T 18883</w:t>
      </w:r>
      <w:r w:rsidRPr="009362ED">
        <w:rPr>
          <w:rFonts w:ascii="Verdana" w:eastAsia="宋体" w:hAnsi="Verdana" w:cs="宋体"/>
          <w:color w:val="000000"/>
          <w:kern w:val="0"/>
          <w:szCs w:val="21"/>
        </w:rPr>
        <w:t>规定限值的</w:t>
      </w:r>
      <w:r w:rsidRPr="009362ED">
        <w:rPr>
          <w:rFonts w:ascii="Verdana" w:eastAsia="宋体" w:hAnsi="Verdana" w:cs="宋体"/>
          <w:color w:val="000000"/>
          <w:kern w:val="0"/>
          <w:szCs w:val="21"/>
        </w:rPr>
        <w:t>70%</w:t>
      </w:r>
      <w:r w:rsidRPr="009362ED">
        <w:rPr>
          <w:rFonts w:ascii="Verdana" w:eastAsia="宋体" w:hAnsi="Verdana" w:cs="宋体"/>
          <w:color w:val="000000"/>
          <w:kern w:val="0"/>
          <w:szCs w:val="21"/>
        </w:rPr>
        <w:t>，评价分值为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p>
    <w:p w:rsidR="009362ED" w:rsidRPr="009362ED" w:rsidRDefault="009362ED" w:rsidP="009362ED">
      <w:pPr>
        <w:widowControl/>
        <w:shd w:val="clear" w:color="auto" w:fill="FFFFFF"/>
        <w:jc w:val="center"/>
        <w:rPr>
          <w:rFonts w:ascii="Verdana" w:eastAsia="宋体" w:hAnsi="Verdana" w:cs="宋体"/>
          <w:color w:val="1D1D1B"/>
          <w:kern w:val="0"/>
          <w:szCs w:val="21"/>
        </w:rPr>
      </w:pPr>
      <w:r w:rsidRPr="009362ED">
        <w:rPr>
          <w:rFonts w:ascii="Verdana" w:eastAsia="宋体" w:hAnsi="Verdana" w:cs="宋体"/>
          <w:b/>
          <w:bCs/>
          <w:color w:val="1D1D1B"/>
          <w:kern w:val="0"/>
          <w:szCs w:val="21"/>
        </w:rPr>
        <w:br/>
      </w:r>
      <w:r w:rsidRPr="009362ED">
        <w:rPr>
          <w:rFonts w:ascii="Verdana" w:eastAsia="宋体" w:hAnsi="Verdana" w:cs="宋体"/>
          <w:color w:val="000000"/>
          <w:kern w:val="0"/>
          <w:szCs w:val="21"/>
        </w:rPr>
        <w:t xml:space="preserve">II </w:t>
      </w:r>
      <w:r w:rsidRPr="009362ED">
        <w:rPr>
          <w:rFonts w:ascii="Verdana" w:eastAsia="宋体" w:hAnsi="Verdana" w:cs="宋体"/>
          <w:color w:val="000000"/>
          <w:kern w:val="0"/>
          <w:szCs w:val="21"/>
        </w:rPr>
        <w:t>创新</w:t>
      </w:r>
    </w:p>
    <w:p w:rsidR="009362ED" w:rsidRPr="009362ED" w:rsidRDefault="009362ED" w:rsidP="009362ED">
      <w:pPr>
        <w:widowControl/>
        <w:shd w:val="clear" w:color="auto" w:fill="FFFFFF"/>
        <w:jc w:val="left"/>
        <w:rPr>
          <w:rFonts w:ascii="Verdana" w:eastAsia="宋体" w:hAnsi="Verdana" w:cs="宋体"/>
          <w:color w:val="1D1D1B"/>
          <w:kern w:val="0"/>
          <w:szCs w:val="21"/>
        </w:rPr>
      </w:pP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11.2.8 </w:t>
      </w:r>
      <w:r w:rsidRPr="009362ED">
        <w:rPr>
          <w:rFonts w:ascii="Verdana" w:eastAsia="宋体" w:hAnsi="Verdana" w:cs="宋体"/>
          <w:color w:val="000000"/>
          <w:kern w:val="0"/>
          <w:szCs w:val="21"/>
        </w:rPr>
        <w:t>建筑方案充分考虑建筑所在地域的气候、环境、资源，结合场地特征和建筑功能，进行技术经济分析，显著提高能源资源利用效率和建筑性能，评价分值为</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11.2.9 </w:t>
      </w:r>
      <w:r w:rsidRPr="009362ED">
        <w:rPr>
          <w:rFonts w:ascii="Verdana" w:eastAsia="宋体" w:hAnsi="Verdana" w:cs="宋体"/>
          <w:color w:val="000000"/>
          <w:kern w:val="0"/>
          <w:szCs w:val="21"/>
        </w:rPr>
        <w:t>合理选用废弃场地进行建设，或充分利用尚可使用的旧建筑，评价分值为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11.2.10 </w:t>
      </w:r>
      <w:r w:rsidRPr="009362ED">
        <w:rPr>
          <w:rFonts w:ascii="Verdana" w:eastAsia="宋体" w:hAnsi="Verdana" w:cs="宋体"/>
          <w:color w:val="000000"/>
          <w:kern w:val="0"/>
          <w:szCs w:val="21"/>
        </w:rPr>
        <w:t>应用建筑信息模型（</w:t>
      </w:r>
      <w:r w:rsidRPr="009362ED">
        <w:rPr>
          <w:rFonts w:ascii="Verdana" w:eastAsia="宋体" w:hAnsi="Verdana" w:cs="宋体"/>
          <w:color w:val="000000"/>
          <w:kern w:val="0"/>
          <w:szCs w:val="21"/>
        </w:rPr>
        <w:t>BIM</w:t>
      </w:r>
      <w:r w:rsidRPr="009362ED">
        <w:rPr>
          <w:rFonts w:ascii="Verdana" w:eastAsia="宋体" w:hAnsi="Verdana" w:cs="宋体"/>
          <w:color w:val="000000"/>
          <w:kern w:val="0"/>
          <w:szCs w:val="21"/>
        </w:rPr>
        <w:t>）技术，</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分。在建筑的规划设计、施工建造和运行维护阶段中的一个阶段应用，得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分；在两个或二个以上阶段应用，得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11.2.11 </w:t>
      </w:r>
      <w:r w:rsidRPr="009362ED">
        <w:rPr>
          <w:rFonts w:ascii="Verdana" w:eastAsia="宋体" w:hAnsi="Verdana" w:cs="宋体"/>
          <w:color w:val="000000"/>
          <w:kern w:val="0"/>
          <w:szCs w:val="21"/>
        </w:rPr>
        <w:t>进行建筑碳排放计算分析，采取措施降低单位建筑面积碳排放强度，评价分值为</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r w:rsidRPr="009362ED">
        <w:rPr>
          <w:rFonts w:ascii="Verdana" w:eastAsia="宋体" w:hAnsi="Verdana" w:cs="宋体"/>
          <w:color w:val="1D1D1B"/>
          <w:kern w:val="0"/>
          <w:szCs w:val="21"/>
        </w:rPr>
        <w:br/>
      </w:r>
      <w:r w:rsidRPr="009362ED">
        <w:rPr>
          <w:rFonts w:ascii="Verdana" w:eastAsia="宋体" w:hAnsi="Verdana" w:cs="宋体"/>
          <w:color w:val="1D1D1B"/>
          <w:kern w:val="0"/>
          <w:szCs w:val="21"/>
        </w:rPr>
        <w:br/>
      </w:r>
      <w:r w:rsidRPr="009362ED">
        <w:rPr>
          <w:rFonts w:ascii="Verdana" w:eastAsia="宋体" w:hAnsi="Verdana" w:cs="宋体"/>
          <w:color w:val="000000"/>
          <w:kern w:val="0"/>
          <w:szCs w:val="21"/>
        </w:rPr>
        <w:t xml:space="preserve">11.2.12 </w:t>
      </w:r>
      <w:r w:rsidRPr="009362ED">
        <w:rPr>
          <w:rFonts w:ascii="Verdana" w:eastAsia="宋体" w:hAnsi="Verdana" w:cs="宋体"/>
          <w:color w:val="000000"/>
          <w:kern w:val="0"/>
          <w:szCs w:val="21"/>
        </w:rPr>
        <w:t>采取节约能源资源、保护生态环境、保障安全健康的其他创新，并有明显效益，</w:t>
      </w:r>
      <w:proofErr w:type="gramStart"/>
      <w:r w:rsidRPr="009362ED">
        <w:rPr>
          <w:rFonts w:ascii="Verdana" w:eastAsia="宋体" w:hAnsi="Verdana" w:cs="宋体"/>
          <w:color w:val="000000"/>
          <w:kern w:val="0"/>
          <w:szCs w:val="21"/>
        </w:rPr>
        <w:t>评价总分值</w:t>
      </w:r>
      <w:proofErr w:type="gramEnd"/>
      <w:r w:rsidRPr="009362ED">
        <w:rPr>
          <w:rFonts w:ascii="Verdana" w:eastAsia="宋体" w:hAnsi="Verdana" w:cs="宋体"/>
          <w:color w:val="000000"/>
          <w:kern w:val="0"/>
          <w:szCs w:val="21"/>
        </w:rPr>
        <w:t>为</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分。采取一项，得</w:t>
      </w:r>
      <w:r w:rsidRPr="009362ED">
        <w:rPr>
          <w:rFonts w:ascii="Verdana" w:eastAsia="宋体" w:hAnsi="Verdana" w:cs="宋体"/>
          <w:color w:val="000000"/>
          <w:kern w:val="0"/>
          <w:szCs w:val="21"/>
        </w:rPr>
        <w:t xml:space="preserve"> 1 </w:t>
      </w:r>
      <w:r w:rsidRPr="009362ED">
        <w:rPr>
          <w:rFonts w:ascii="Verdana" w:eastAsia="宋体" w:hAnsi="Verdana" w:cs="宋体"/>
          <w:color w:val="000000"/>
          <w:kern w:val="0"/>
          <w:szCs w:val="21"/>
        </w:rPr>
        <w:t>分；采取两项及以上，得</w:t>
      </w:r>
      <w:r w:rsidRPr="009362ED">
        <w:rPr>
          <w:rFonts w:ascii="Verdana" w:eastAsia="宋体" w:hAnsi="Verdana" w:cs="宋体"/>
          <w:color w:val="000000"/>
          <w:kern w:val="0"/>
          <w:szCs w:val="21"/>
        </w:rPr>
        <w:t xml:space="preserve"> 2 </w:t>
      </w:r>
      <w:r w:rsidRPr="009362ED">
        <w:rPr>
          <w:rFonts w:ascii="Verdana" w:eastAsia="宋体" w:hAnsi="Verdana" w:cs="宋体"/>
          <w:color w:val="000000"/>
          <w:kern w:val="0"/>
          <w:szCs w:val="21"/>
        </w:rPr>
        <w:t>分。</w:t>
      </w:r>
      <w:r w:rsidRPr="009362ED">
        <w:rPr>
          <w:rFonts w:ascii="Verdana" w:eastAsia="宋体" w:hAnsi="Verdana" w:cs="宋体"/>
          <w:color w:val="000000"/>
          <w:kern w:val="0"/>
          <w:szCs w:val="21"/>
        </w:rPr>
        <w:t> </w:t>
      </w:r>
    </w:p>
    <w:p w:rsidR="006175AE" w:rsidRDefault="001D75B3"/>
    <w:sectPr w:rsidR="00617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B3" w:rsidRDefault="001D75B3" w:rsidP="009362ED">
      <w:r>
        <w:separator/>
      </w:r>
    </w:p>
  </w:endnote>
  <w:endnote w:type="continuationSeparator" w:id="0">
    <w:p w:rsidR="001D75B3" w:rsidRDefault="001D75B3" w:rsidP="0093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B3" w:rsidRDefault="001D75B3" w:rsidP="009362ED">
      <w:r>
        <w:separator/>
      </w:r>
    </w:p>
  </w:footnote>
  <w:footnote w:type="continuationSeparator" w:id="0">
    <w:p w:rsidR="001D75B3" w:rsidRDefault="001D75B3" w:rsidP="0093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4E"/>
    <w:rsid w:val="00016503"/>
    <w:rsid w:val="00020D0F"/>
    <w:rsid w:val="001D75B3"/>
    <w:rsid w:val="009362ED"/>
    <w:rsid w:val="00BB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2ED"/>
    <w:rPr>
      <w:sz w:val="18"/>
      <w:szCs w:val="18"/>
    </w:rPr>
  </w:style>
  <w:style w:type="paragraph" w:styleId="a4">
    <w:name w:val="footer"/>
    <w:basedOn w:val="a"/>
    <w:link w:val="Char0"/>
    <w:uiPriority w:val="99"/>
    <w:unhideWhenUsed/>
    <w:rsid w:val="009362ED"/>
    <w:pPr>
      <w:tabs>
        <w:tab w:val="center" w:pos="4153"/>
        <w:tab w:val="right" w:pos="8306"/>
      </w:tabs>
      <w:snapToGrid w:val="0"/>
      <w:jc w:val="left"/>
    </w:pPr>
    <w:rPr>
      <w:sz w:val="18"/>
      <w:szCs w:val="18"/>
    </w:rPr>
  </w:style>
  <w:style w:type="character" w:customStyle="1" w:styleId="Char0">
    <w:name w:val="页脚 Char"/>
    <w:basedOn w:val="a0"/>
    <w:link w:val="a4"/>
    <w:uiPriority w:val="99"/>
    <w:rsid w:val="009362ED"/>
    <w:rPr>
      <w:sz w:val="18"/>
      <w:szCs w:val="18"/>
    </w:rPr>
  </w:style>
  <w:style w:type="character" w:styleId="a5">
    <w:name w:val="Strong"/>
    <w:basedOn w:val="a0"/>
    <w:uiPriority w:val="22"/>
    <w:qFormat/>
    <w:rsid w:val="009362ED"/>
    <w:rPr>
      <w:b/>
      <w:bCs/>
    </w:rPr>
  </w:style>
  <w:style w:type="paragraph" w:styleId="a6">
    <w:name w:val="Balloon Text"/>
    <w:basedOn w:val="a"/>
    <w:link w:val="Char1"/>
    <w:uiPriority w:val="99"/>
    <w:semiHidden/>
    <w:unhideWhenUsed/>
    <w:rsid w:val="009362ED"/>
    <w:rPr>
      <w:sz w:val="18"/>
      <w:szCs w:val="18"/>
    </w:rPr>
  </w:style>
  <w:style w:type="character" w:customStyle="1" w:styleId="Char1">
    <w:name w:val="批注框文本 Char"/>
    <w:basedOn w:val="a0"/>
    <w:link w:val="a6"/>
    <w:uiPriority w:val="99"/>
    <w:semiHidden/>
    <w:rsid w:val="009362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2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2ED"/>
    <w:rPr>
      <w:sz w:val="18"/>
      <w:szCs w:val="18"/>
    </w:rPr>
  </w:style>
  <w:style w:type="paragraph" w:styleId="a4">
    <w:name w:val="footer"/>
    <w:basedOn w:val="a"/>
    <w:link w:val="Char0"/>
    <w:uiPriority w:val="99"/>
    <w:unhideWhenUsed/>
    <w:rsid w:val="009362ED"/>
    <w:pPr>
      <w:tabs>
        <w:tab w:val="center" w:pos="4153"/>
        <w:tab w:val="right" w:pos="8306"/>
      </w:tabs>
      <w:snapToGrid w:val="0"/>
      <w:jc w:val="left"/>
    </w:pPr>
    <w:rPr>
      <w:sz w:val="18"/>
      <w:szCs w:val="18"/>
    </w:rPr>
  </w:style>
  <w:style w:type="character" w:customStyle="1" w:styleId="Char0">
    <w:name w:val="页脚 Char"/>
    <w:basedOn w:val="a0"/>
    <w:link w:val="a4"/>
    <w:uiPriority w:val="99"/>
    <w:rsid w:val="009362ED"/>
    <w:rPr>
      <w:sz w:val="18"/>
      <w:szCs w:val="18"/>
    </w:rPr>
  </w:style>
  <w:style w:type="character" w:styleId="a5">
    <w:name w:val="Strong"/>
    <w:basedOn w:val="a0"/>
    <w:uiPriority w:val="22"/>
    <w:qFormat/>
    <w:rsid w:val="009362ED"/>
    <w:rPr>
      <w:b/>
      <w:bCs/>
    </w:rPr>
  </w:style>
  <w:style w:type="paragraph" w:styleId="a6">
    <w:name w:val="Balloon Text"/>
    <w:basedOn w:val="a"/>
    <w:link w:val="Char1"/>
    <w:uiPriority w:val="99"/>
    <w:semiHidden/>
    <w:unhideWhenUsed/>
    <w:rsid w:val="009362ED"/>
    <w:rPr>
      <w:sz w:val="18"/>
      <w:szCs w:val="18"/>
    </w:rPr>
  </w:style>
  <w:style w:type="character" w:customStyle="1" w:styleId="Char1">
    <w:name w:val="批注框文本 Char"/>
    <w:basedOn w:val="a0"/>
    <w:link w:val="a6"/>
    <w:uiPriority w:val="99"/>
    <w:semiHidden/>
    <w:rsid w:val="00936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89700">
      <w:bodyDiv w:val="1"/>
      <w:marLeft w:val="0"/>
      <w:marRight w:val="0"/>
      <w:marTop w:val="0"/>
      <w:marBottom w:val="0"/>
      <w:divBdr>
        <w:top w:val="none" w:sz="0" w:space="0" w:color="auto"/>
        <w:left w:val="none" w:sz="0" w:space="0" w:color="auto"/>
        <w:bottom w:val="none" w:sz="0" w:space="0" w:color="auto"/>
        <w:right w:val="none" w:sz="0" w:space="0" w:color="auto"/>
      </w:divBdr>
      <w:divsChild>
        <w:div w:id="611085823">
          <w:marLeft w:val="225"/>
          <w:marRight w:val="225"/>
          <w:marTop w:val="225"/>
          <w:marBottom w:val="225"/>
          <w:divBdr>
            <w:top w:val="none" w:sz="0" w:space="0" w:color="auto"/>
            <w:left w:val="none" w:sz="0" w:space="0" w:color="auto"/>
            <w:bottom w:val="none" w:sz="0" w:space="0" w:color="auto"/>
            <w:right w:val="none" w:sz="0" w:space="0" w:color="auto"/>
          </w:divBdr>
        </w:div>
        <w:div w:id="88544772">
          <w:marLeft w:val="0"/>
          <w:marRight w:val="0"/>
          <w:marTop w:val="0"/>
          <w:marBottom w:val="0"/>
          <w:divBdr>
            <w:top w:val="none" w:sz="0" w:space="0" w:color="auto"/>
            <w:left w:val="none" w:sz="0" w:space="0" w:color="auto"/>
            <w:bottom w:val="none" w:sz="0" w:space="0" w:color="auto"/>
            <w:right w:val="none" w:sz="0" w:space="0" w:color="auto"/>
          </w:divBdr>
          <w:divsChild>
            <w:div w:id="1310597082">
              <w:marLeft w:val="0"/>
              <w:marRight w:val="0"/>
              <w:marTop w:val="0"/>
              <w:marBottom w:val="0"/>
              <w:divBdr>
                <w:top w:val="none" w:sz="0" w:space="0" w:color="auto"/>
                <w:left w:val="none" w:sz="0" w:space="0" w:color="auto"/>
                <w:bottom w:val="none" w:sz="0" w:space="0" w:color="auto"/>
                <w:right w:val="none" w:sz="0" w:space="0" w:color="auto"/>
              </w:divBdr>
              <w:divsChild>
                <w:div w:id="2011179086">
                  <w:marLeft w:val="0"/>
                  <w:marRight w:val="0"/>
                  <w:marTop w:val="0"/>
                  <w:marBottom w:val="0"/>
                  <w:divBdr>
                    <w:top w:val="none" w:sz="0" w:space="0" w:color="auto"/>
                    <w:left w:val="none" w:sz="0" w:space="0" w:color="auto"/>
                    <w:bottom w:val="none" w:sz="0" w:space="0" w:color="auto"/>
                    <w:right w:val="none" w:sz="0" w:space="0" w:color="auto"/>
                  </w:divBdr>
                </w:div>
                <w:div w:id="1066950662">
                  <w:marLeft w:val="0"/>
                  <w:marRight w:val="0"/>
                  <w:marTop w:val="0"/>
                  <w:marBottom w:val="0"/>
                  <w:divBdr>
                    <w:top w:val="none" w:sz="0" w:space="0" w:color="auto"/>
                    <w:left w:val="none" w:sz="0" w:space="0" w:color="auto"/>
                    <w:bottom w:val="none" w:sz="0" w:space="0" w:color="auto"/>
                    <w:right w:val="none" w:sz="0" w:space="0" w:color="auto"/>
                  </w:divBdr>
                </w:div>
                <w:div w:id="1488011485">
                  <w:marLeft w:val="0"/>
                  <w:marRight w:val="0"/>
                  <w:marTop w:val="0"/>
                  <w:marBottom w:val="0"/>
                  <w:divBdr>
                    <w:top w:val="none" w:sz="0" w:space="0" w:color="auto"/>
                    <w:left w:val="none" w:sz="0" w:space="0" w:color="auto"/>
                    <w:bottom w:val="none" w:sz="0" w:space="0" w:color="auto"/>
                    <w:right w:val="none" w:sz="0" w:space="0" w:color="auto"/>
                  </w:divBdr>
                </w:div>
                <w:div w:id="120464526">
                  <w:marLeft w:val="0"/>
                  <w:marRight w:val="0"/>
                  <w:marTop w:val="0"/>
                  <w:marBottom w:val="0"/>
                  <w:divBdr>
                    <w:top w:val="none" w:sz="0" w:space="0" w:color="auto"/>
                    <w:left w:val="none" w:sz="0" w:space="0" w:color="auto"/>
                    <w:bottom w:val="none" w:sz="0" w:space="0" w:color="auto"/>
                    <w:right w:val="none" w:sz="0" w:space="0" w:color="auto"/>
                  </w:divBdr>
                </w:div>
                <w:div w:id="1845584570">
                  <w:marLeft w:val="0"/>
                  <w:marRight w:val="0"/>
                  <w:marTop w:val="0"/>
                  <w:marBottom w:val="0"/>
                  <w:divBdr>
                    <w:top w:val="none" w:sz="0" w:space="0" w:color="auto"/>
                    <w:left w:val="none" w:sz="0" w:space="0" w:color="auto"/>
                    <w:bottom w:val="none" w:sz="0" w:space="0" w:color="auto"/>
                    <w:right w:val="none" w:sz="0" w:space="0" w:color="auto"/>
                  </w:divBdr>
                </w:div>
                <w:div w:id="419251420">
                  <w:marLeft w:val="0"/>
                  <w:marRight w:val="0"/>
                  <w:marTop w:val="0"/>
                  <w:marBottom w:val="0"/>
                  <w:divBdr>
                    <w:top w:val="none" w:sz="0" w:space="0" w:color="auto"/>
                    <w:left w:val="none" w:sz="0" w:space="0" w:color="auto"/>
                    <w:bottom w:val="none" w:sz="0" w:space="0" w:color="auto"/>
                    <w:right w:val="none" w:sz="0" w:space="0" w:color="auto"/>
                  </w:divBdr>
                </w:div>
                <w:div w:id="1251692245">
                  <w:marLeft w:val="0"/>
                  <w:marRight w:val="0"/>
                  <w:marTop w:val="0"/>
                  <w:marBottom w:val="0"/>
                  <w:divBdr>
                    <w:top w:val="none" w:sz="0" w:space="0" w:color="auto"/>
                    <w:left w:val="none" w:sz="0" w:space="0" w:color="auto"/>
                    <w:bottom w:val="none" w:sz="0" w:space="0" w:color="auto"/>
                    <w:right w:val="none" w:sz="0" w:space="0" w:color="auto"/>
                  </w:divBdr>
                </w:div>
                <w:div w:id="1313362671">
                  <w:marLeft w:val="0"/>
                  <w:marRight w:val="0"/>
                  <w:marTop w:val="0"/>
                  <w:marBottom w:val="0"/>
                  <w:divBdr>
                    <w:top w:val="none" w:sz="0" w:space="0" w:color="auto"/>
                    <w:left w:val="none" w:sz="0" w:space="0" w:color="auto"/>
                    <w:bottom w:val="none" w:sz="0" w:space="0" w:color="auto"/>
                    <w:right w:val="none" w:sz="0" w:space="0" w:color="auto"/>
                  </w:divBdr>
                </w:div>
                <w:div w:id="968441287">
                  <w:marLeft w:val="0"/>
                  <w:marRight w:val="0"/>
                  <w:marTop w:val="0"/>
                  <w:marBottom w:val="0"/>
                  <w:divBdr>
                    <w:top w:val="none" w:sz="0" w:space="0" w:color="auto"/>
                    <w:left w:val="none" w:sz="0" w:space="0" w:color="auto"/>
                    <w:bottom w:val="none" w:sz="0" w:space="0" w:color="auto"/>
                    <w:right w:val="none" w:sz="0" w:space="0" w:color="auto"/>
                  </w:divBdr>
                </w:div>
                <w:div w:id="307049796">
                  <w:marLeft w:val="0"/>
                  <w:marRight w:val="0"/>
                  <w:marTop w:val="0"/>
                  <w:marBottom w:val="0"/>
                  <w:divBdr>
                    <w:top w:val="none" w:sz="0" w:space="0" w:color="auto"/>
                    <w:left w:val="none" w:sz="0" w:space="0" w:color="auto"/>
                    <w:bottom w:val="none" w:sz="0" w:space="0" w:color="auto"/>
                    <w:right w:val="none" w:sz="0" w:space="0" w:color="auto"/>
                  </w:divBdr>
                </w:div>
                <w:div w:id="366636661">
                  <w:marLeft w:val="0"/>
                  <w:marRight w:val="0"/>
                  <w:marTop w:val="0"/>
                  <w:marBottom w:val="0"/>
                  <w:divBdr>
                    <w:top w:val="none" w:sz="0" w:space="0" w:color="auto"/>
                    <w:left w:val="none" w:sz="0" w:space="0" w:color="auto"/>
                    <w:bottom w:val="none" w:sz="0" w:space="0" w:color="auto"/>
                    <w:right w:val="none" w:sz="0" w:space="0" w:color="auto"/>
                  </w:divBdr>
                </w:div>
                <w:div w:id="876164090">
                  <w:marLeft w:val="0"/>
                  <w:marRight w:val="0"/>
                  <w:marTop w:val="0"/>
                  <w:marBottom w:val="0"/>
                  <w:divBdr>
                    <w:top w:val="none" w:sz="0" w:space="0" w:color="auto"/>
                    <w:left w:val="none" w:sz="0" w:space="0" w:color="auto"/>
                    <w:bottom w:val="none" w:sz="0" w:space="0" w:color="auto"/>
                    <w:right w:val="none" w:sz="0" w:space="0" w:color="auto"/>
                  </w:divBdr>
                </w:div>
                <w:div w:id="638386354">
                  <w:marLeft w:val="0"/>
                  <w:marRight w:val="0"/>
                  <w:marTop w:val="0"/>
                  <w:marBottom w:val="0"/>
                  <w:divBdr>
                    <w:top w:val="none" w:sz="0" w:space="0" w:color="auto"/>
                    <w:left w:val="none" w:sz="0" w:space="0" w:color="auto"/>
                    <w:bottom w:val="none" w:sz="0" w:space="0" w:color="auto"/>
                    <w:right w:val="none" w:sz="0" w:space="0" w:color="auto"/>
                  </w:divBdr>
                </w:div>
                <w:div w:id="925529210">
                  <w:marLeft w:val="0"/>
                  <w:marRight w:val="0"/>
                  <w:marTop w:val="0"/>
                  <w:marBottom w:val="0"/>
                  <w:divBdr>
                    <w:top w:val="none" w:sz="0" w:space="0" w:color="auto"/>
                    <w:left w:val="none" w:sz="0" w:space="0" w:color="auto"/>
                    <w:bottom w:val="none" w:sz="0" w:space="0" w:color="auto"/>
                    <w:right w:val="none" w:sz="0" w:space="0" w:color="auto"/>
                  </w:divBdr>
                </w:div>
                <w:div w:id="553277956">
                  <w:marLeft w:val="0"/>
                  <w:marRight w:val="0"/>
                  <w:marTop w:val="0"/>
                  <w:marBottom w:val="0"/>
                  <w:divBdr>
                    <w:top w:val="none" w:sz="0" w:space="0" w:color="auto"/>
                    <w:left w:val="none" w:sz="0" w:space="0" w:color="auto"/>
                    <w:bottom w:val="none" w:sz="0" w:space="0" w:color="auto"/>
                    <w:right w:val="none" w:sz="0" w:space="0" w:color="auto"/>
                  </w:divBdr>
                </w:div>
                <w:div w:id="1982037745">
                  <w:marLeft w:val="0"/>
                  <w:marRight w:val="0"/>
                  <w:marTop w:val="0"/>
                  <w:marBottom w:val="0"/>
                  <w:divBdr>
                    <w:top w:val="none" w:sz="0" w:space="0" w:color="auto"/>
                    <w:left w:val="none" w:sz="0" w:space="0" w:color="auto"/>
                    <w:bottom w:val="none" w:sz="0" w:space="0" w:color="auto"/>
                    <w:right w:val="none" w:sz="0" w:space="0" w:color="auto"/>
                  </w:divBdr>
                </w:div>
                <w:div w:id="371655565">
                  <w:marLeft w:val="0"/>
                  <w:marRight w:val="0"/>
                  <w:marTop w:val="0"/>
                  <w:marBottom w:val="0"/>
                  <w:divBdr>
                    <w:top w:val="none" w:sz="0" w:space="0" w:color="auto"/>
                    <w:left w:val="none" w:sz="0" w:space="0" w:color="auto"/>
                    <w:bottom w:val="none" w:sz="0" w:space="0" w:color="auto"/>
                    <w:right w:val="none" w:sz="0" w:space="0" w:color="auto"/>
                  </w:divBdr>
                  <w:divsChild>
                    <w:div w:id="3641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2017-04-28T07:28:00Z</dcterms:created>
  <dcterms:modified xsi:type="dcterms:W3CDTF">2017-04-28T07:35:00Z</dcterms:modified>
</cp:coreProperties>
</file>